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2BEBA" w14:textId="77777777" w:rsidR="00853B1E" w:rsidRPr="00853B1E" w:rsidRDefault="00853B1E" w:rsidP="00853B1E">
      <w:pPr>
        <w:rPr>
          <w:lang w:val="fr-FR"/>
        </w:rPr>
      </w:pPr>
      <w:r w:rsidRPr="00853B1E">
        <w:rPr>
          <w:noProof/>
          <w:lang w:val="fr-FR" w:eastAsia="fr-FR"/>
        </w:rPr>
        <w:drawing>
          <wp:anchor distT="0" distB="0" distL="114300" distR="114300" simplePos="0" relativeHeight="251660288" behindDoc="0" locked="0" layoutInCell="1" allowOverlap="1" wp14:anchorId="478E72E5" wp14:editId="3EDA8A51">
            <wp:simplePos x="0" y="0"/>
            <wp:positionH relativeFrom="column">
              <wp:posOffset>2190613</wp:posOffset>
            </wp:positionH>
            <wp:positionV relativeFrom="paragraph">
              <wp:posOffset>-158517</wp:posOffset>
            </wp:positionV>
            <wp:extent cx="1588655" cy="2127250"/>
            <wp:effectExtent l="0" t="0" r="0" b="0"/>
            <wp:wrapNone/>
            <wp:docPr id="70655390" name="Image 1" descr="Eletot - Site officiel de la com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tot - Site officiel de la commune"/>
                    <pic:cNvPicPr>
                      <a:picLocks noChangeAspect="1" noChangeArrowheads="1"/>
                    </pic:cNvPicPr>
                  </pic:nvPicPr>
                  <pic:blipFill rotWithShape="1">
                    <a:blip r:embed="rId11" cstate="screen">
                      <a:extLst>
                        <a:ext uri="{28A0092B-C50C-407E-A947-70E740481C1C}">
                          <a14:useLocalDpi xmlns:a14="http://schemas.microsoft.com/office/drawing/2010/main"/>
                        </a:ext>
                      </a:extLst>
                    </a:blip>
                    <a:srcRect/>
                    <a:stretch/>
                  </pic:blipFill>
                  <pic:spPr bwMode="auto">
                    <a:xfrm>
                      <a:off x="0" y="0"/>
                      <a:ext cx="1588655" cy="2127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DBAB42" w14:textId="77777777" w:rsidR="00853B1E" w:rsidRPr="00853B1E" w:rsidRDefault="00853B1E" w:rsidP="00853B1E">
      <w:pPr>
        <w:rPr>
          <w:lang w:val="fr-FR"/>
        </w:rPr>
      </w:pPr>
    </w:p>
    <w:p w14:paraId="3E45B39B" w14:textId="77777777" w:rsidR="00853B1E" w:rsidRPr="00853B1E" w:rsidRDefault="00853B1E" w:rsidP="00853B1E">
      <w:pPr>
        <w:rPr>
          <w:lang w:val="fr-FR"/>
        </w:rPr>
      </w:pPr>
    </w:p>
    <w:p w14:paraId="130816BB" w14:textId="77777777" w:rsidR="00853B1E" w:rsidRPr="00853B1E" w:rsidRDefault="00853B1E" w:rsidP="00853B1E">
      <w:pPr>
        <w:rPr>
          <w:lang w:val="fr-FR"/>
        </w:rPr>
      </w:pPr>
    </w:p>
    <w:p w14:paraId="385CBA1C" w14:textId="77777777" w:rsidR="00853B1E" w:rsidRPr="00853B1E" w:rsidRDefault="00853B1E" w:rsidP="00853B1E">
      <w:pPr>
        <w:rPr>
          <w:lang w:val="fr-FR"/>
        </w:rPr>
      </w:pPr>
    </w:p>
    <w:p w14:paraId="585C8429" w14:textId="77777777" w:rsidR="00853B1E" w:rsidRPr="00853B1E" w:rsidRDefault="00853B1E" w:rsidP="00853B1E">
      <w:pPr>
        <w:rPr>
          <w:lang w:val="fr-FR"/>
        </w:rPr>
      </w:pPr>
    </w:p>
    <w:p w14:paraId="7046F760" w14:textId="77777777" w:rsidR="00853B1E" w:rsidRPr="00853B1E" w:rsidRDefault="00853B1E" w:rsidP="00853B1E">
      <w:pPr>
        <w:rPr>
          <w:lang w:val="fr-FR"/>
        </w:rPr>
      </w:pPr>
    </w:p>
    <w:p w14:paraId="6D8D1FF3" w14:textId="77777777" w:rsidR="00853B1E" w:rsidRPr="00853B1E" w:rsidRDefault="00853B1E" w:rsidP="00853B1E">
      <w:pPr>
        <w:rPr>
          <w:lang w:val="fr-FR"/>
        </w:rPr>
      </w:pPr>
    </w:p>
    <w:p w14:paraId="466126EE" w14:textId="5936F693" w:rsidR="00853B1E" w:rsidRPr="00853B1E" w:rsidRDefault="00853B1E" w:rsidP="00853B1E">
      <w:pPr>
        <w:rPr>
          <w:lang w:val="fr-FR"/>
        </w:rPr>
      </w:pPr>
      <w:r w:rsidRPr="00853B1E">
        <w:rPr>
          <w:b/>
          <w:smallCaps/>
          <w:noProof/>
          <w:sz w:val="56"/>
          <w:lang w:val="fr-FR" w:eastAsia="fr-FR"/>
          <w14:textOutline w14:w="9525" w14:cap="flat" w14:cmpd="sng" w14:algn="ctr">
            <w14:noFill/>
            <w14:prstDash w14:val="solid"/>
            <w14:round/>
          </w14:textOutline>
        </w:rPr>
        <w:drawing>
          <wp:anchor distT="0" distB="0" distL="114300" distR="114300" simplePos="0" relativeHeight="251659264" behindDoc="1" locked="0" layoutInCell="1" allowOverlap="1" wp14:anchorId="60F91812" wp14:editId="4F1D51CA">
            <wp:simplePos x="0" y="0"/>
            <wp:positionH relativeFrom="page">
              <wp:posOffset>293526</wp:posOffset>
            </wp:positionH>
            <wp:positionV relativeFrom="paragraph">
              <wp:posOffset>312133</wp:posOffset>
            </wp:positionV>
            <wp:extent cx="7241021" cy="2734890"/>
            <wp:effectExtent l="0" t="0" r="0" b="8890"/>
            <wp:wrapNone/>
            <wp:docPr id="24" name="Image 24" descr="C:\Users\bupy\AppData\Local\Microsoft\Windows\INetCacheContent.Word\Quarante-deux-logo_coule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upy\AppData\Local\Microsoft\Windows\INetCacheContent.Word\Quarante-deux-logo_couleur.jpg"/>
                    <pic:cNvPicPr>
                      <a:picLocks noChangeAspect="1" noChangeArrowheads="1"/>
                    </pic:cNvPicPr>
                  </pic:nvPicPr>
                  <pic:blipFill rotWithShape="1">
                    <a:blip r:embed="rId12" cstate="screen">
                      <a:duotone>
                        <a:schemeClr val="bg2">
                          <a:shade val="45000"/>
                          <a:satMod val="135000"/>
                        </a:schemeClr>
                        <a:prstClr val="white"/>
                      </a:duotone>
                      <a:extLst>
                        <a:ext uri="{28A0092B-C50C-407E-A947-70E740481C1C}">
                          <a14:useLocalDpi xmlns:a14="http://schemas.microsoft.com/office/drawing/2010/main"/>
                        </a:ext>
                      </a:extLst>
                    </a:blip>
                    <a:srcRect/>
                    <a:stretch/>
                  </pic:blipFill>
                  <pic:spPr bwMode="auto">
                    <a:xfrm>
                      <a:off x="0" y="0"/>
                      <a:ext cx="7241021" cy="2734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1F5B25" w14:textId="77777777" w:rsidR="00853B1E" w:rsidRPr="00853B1E" w:rsidRDefault="00853B1E" w:rsidP="00853B1E">
      <w:pPr>
        <w:rPr>
          <w:lang w:val="fr-FR"/>
        </w:rPr>
      </w:pPr>
    </w:p>
    <w:p w14:paraId="05F85663" w14:textId="77777777" w:rsidR="00853B1E" w:rsidRPr="00853B1E" w:rsidRDefault="00853B1E" w:rsidP="00853B1E">
      <w:pPr>
        <w:jc w:val="center"/>
        <w:rPr>
          <w:lang w:val="fr-FR"/>
        </w:rPr>
      </w:pPr>
    </w:p>
    <w:p w14:paraId="2316D36E" w14:textId="77777777" w:rsidR="00853B1E" w:rsidRPr="00853B1E" w:rsidRDefault="00853B1E" w:rsidP="00853B1E">
      <w:pPr>
        <w:rPr>
          <w:lang w:val="fr-FR"/>
        </w:rPr>
      </w:pPr>
    </w:p>
    <w:p w14:paraId="3DB9F708" w14:textId="77777777" w:rsidR="00853B1E" w:rsidRPr="00853B1E" w:rsidRDefault="00853B1E" w:rsidP="00853B1E">
      <w:pPr>
        <w:ind w:left="-284" w:right="-284"/>
        <w:jc w:val="center"/>
        <w:rPr>
          <w:b/>
          <w:smallCaps/>
          <w:sz w:val="56"/>
          <w:lang w:val="fr-FR"/>
          <w14:textOutline w14:w="9525" w14:cap="flat" w14:cmpd="sng" w14:algn="ctr">
            <w14:noFill/>
            <w14:prstDash w14:val="solid"/>
            <w14:round/>
          </w14:textOutline>
        </w:rPr>
      </w:pPr>
      <w:r w:rsidRPr="00853B1E">
        <w:rPr>
          <w:b/>
          <w:smallCaps/>
          <w:sz w:val="56"/>
          <w:lang w:val="fr-FR"/>
          <w14:textOutline w14:w="9525" w14:cap="flat" w14:cmpd="sng" w14:algn="ctr">
            <w14:noFill/>
            <w14:prstDash w14:val="solid"/>
            <w14:round/>
          </w14:textOutline>
        </w:rPr>
        <w:t>aménagement d’un quartier en cœur de bourg</w:t>
      </w:r>
    </w:p>
    <w:p w14:paraId="2246C01B" w14:textId="77777777" w:rsidR="00853B1E" w:rsidRPr="00853B1E" w:rsidRDefault="00853B1E" w:rsidP="00853B1E">
      <w:pPr>
        <w:ind w:left="-284" w:right="-284"/>
        <w:jc w:val="center"/>
        <w:rPr>
          <w:b/>
          <w:smallCaps/>
          <w:sz w:val="56"/>
          <w:lang w:val="fr-FR"/>
          <w14:textOutline w14:w="9525" w14:cap="flat" w14:cmpd="sng" w14:algn="ctr">
            <w14:noFill/>
            <w14:prstDash w14:val="solid"/>
            <w14:round/>
          </w14:textOutline>
        </w:rPr>
      </w:pPr>
      <w:r w:rsidRPr="00853B1E">
        <w:rPr>
          <w:b/>
          <w:smallCaps/>
          <w:sz w:val="56"/>
          <w:lang w:val="fr-FR"/>
          <w14:textOutline w14:w="9525" w14:cap="flat" w14:cmpd="sng" w14:algn="ctr">
            <w14:noFill/>
            <w14:prstDash w14:val="solid"/>
            <w14:round/>
          </w14:textOutline>
        </w:rPr>
        <w:t>Fouilles archéologiques</w:t>
      </w:r>
    </w:p>
    <w:p w14:paraId="0F448941" w14:textId="77777777" w:rsidR="00853B1E" w:rsidRPr="00853B1E" w:rsidRDefault="00853B1E" w:rsidP="00853B1E">
      <w:pPr>
        <w:rPr>
          <w:lang w:val="fr-FR"/>
        </w:rPr>
      </w:pPr>
    </w:p>
    <w:p w14:paraId="535233FD" w14:textId="77777777" w:rsidR="00853B1E" w:rsidRPr="00853B1E" w:rsidRDefault="00853B1E" w:rsidP="00853B1E">
      <w:pPr>
        <w:rPr>
          <w:lang w:val="fr-FR"/>
        </w:rPr>
      </w:pPr>
    </w:p>
    <w:p w14:paraId="31C56AFF" w14:textId="77777777" w:rsidR="00853B1E" w:rsidRPr="00853B1E" w:rsidRDefault="00853B1E" w:rsidP="00853B1E">
      <w:pPr>
        <w:rPr>
          <w:lang w:val="fr-FR"/>
        </w:rPr>
      </w:pPr>
    </w:p>
    <w:p w14:paraId="7DA67C5E" w14:textId="6754B929" w:rsidR="00853B1E" w:rsidRDefault="00853B1E" w:rsidP="00853B1E">
      <w:pPr>
        <w:jc w:val="center"/>
        <w:rPr>
          <w:b/>
          <w:smallCaps/>
          <w:sz w:val="56"/>
          <w:lang w:val="fr-FR"/>
          <w14:textOutline w14:w="9525" w14:cap="flat" w14:cmpd="sng" w14:algn="ctr">
            <w14:noFill/>
            <w14:prstDash w14:val="solid"/>
            <w14:round/>
          </w14:textOutline>
        </w:rPr>
      </w:pPr>
      <w:r w:rsidRPr="00853B1E">
        <w:rPr>
          <w:b/>
          <w:smallCaps/>
          <w:sz w:val="56"/>
          <w:lang w:val="fr-FR"/>
          <w14:textOutline w14:w="9525" w14:cap="flat" w14:cmpd="sng" w14:algn="ctr">
            <w14:noFill/>
            <w14:prstDash w14:val="solid"/>
            <w14:round/>
          </w14:textOutline>
        </w:rPr>
        <w:t>Règlement de consultation</w:t>
      </w:r>
    </w:p>
    <w:p w14:paraId="79111721" w14:textId="6FF23B63" w:rsidR="001C1E44" w:rsidRPr="001C1E44" w:rsidRDefault="001C1E44" w:rsidP="00853B1E">
      <w:pPr>
        <w:jc w:val="center"/>
        <w:rPr>
          <w:b/>
          <w:smallCaps/>
          <w:sz w:val="36"/>
          <w:szCs w:val="15"/>
          <w:lang w:val="fr-FR"/>
          <w14:textOutline w14:w="9525" w14:cap="flat" w14:cmpd="sng" w14:algn="ctr">
            <w14:noFill/>
            <w14:prstDash w14:val="solid"/>
            <w14:round/>
          </w14:textOutline>
        </w:rPr>
      </w:pPr>
      <w:r w:rsidRPr="001C1E44">
        <w:rPr>
          <w:b/>
          <w:smallCaps/>
          <w:sz w:val="36"/>
          <w:szCs w:val="15"/>
          <w:lang w:val="fr-FR"/>
          <w14:textOutline w14:w="9525" w14:cap="flat" w14:cmpd="sng" w14:algn="ctr">
            <w14:noFill/>
            <w14:prstDash w14:val="solid"/>
            <w14:round/>
          </w14:textOutline>
        </w:rPr>
        <w:t>Date limite de réception des offres : le 4 septembre à 12h00</w:t>
      </w:r>
    </w:p>
    <w:p w14:paraId="76FE2A24" w14:textId="77777777" w:rsidR="00853B1E" w:rsidRDefault="00853B1E" w:rsidP="00853B1E">
      <w:pPr>
        <w:rPr>
          <w:lang w:val="fr-FR" w:eastAsia="ja-JP"/>
        </w:rPr>
      </w:pPr>
    </w:p>
    <w:p w14:paraId="71B73C83" w14:textId="77777777" w:rsidR="00712326" w:rsidRDefault="00712326" w:rsidP="00853B1E">
      <w:pPr>
        <w:rPr>
          <w:lang w:val="fr-FR" w:eastAsia="ja-JP"/>
        </w:rPr>
      </w:pPr>
    </w:p>
    <w:p w14:paraId="1E24E3D0" w14:textId="77777777" w:rsidR="00712326" w:rsidRPr="00853B1E" w:rsidRDefault="00712326" w:rsidP="00853B1E">
      <w:pPr>
        <w:rPr>
          <w:lang w:val="fr-FR" w:eastAsia="ja-JP"/>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tblGrid>
      <w:tr w:rsidR="00853B1E" w:rsidRPr="00853B1E" w14:paraId="01721636" w14:textId="77777777" w:rsidTr="003434EF">
        <w:trPr>
          <w:jc w:val="center"/>
        </w:trPr>
        <w:tc>
          <w:tcPr>
            <w:tcW w:w="4112" w:type="dxa"/>
          </w:tcPr>
          <w:p w14:paraId="0FA39AFF" w14:textId="77777777" w:rsidR="00853B1E" w:rsidRPr="00853B1E" w:rsidRDefault="00853B1E" w:rsidP="003434EF">
            <w:pPr>
              <w:jc w:val="center"/>
              <w:rPr>
                <w:b/>
                <w:sz w:val="16"/>
                <w:szCs w:val="14"/>
                <w:lang w:val="fr-FR"/>
              </w:rPr>
            </w:pPr>
            <w:r w:rsidRPr="00853B1E">
              <w:rPr>
                <w:noProof/>
                <w:lang w:val="fr-FR" w:eastAsia="fr-FR"/>
              </w:rPr>
              <w:drawing>
                <wp:anchor distT="0" distB="0" distL="114300" distR="114300" simplePos="0" relativeHeight="251661312" behindDoc="0" locked="0" layoutInCell="1" allowOverlap="1" wp14:anchorId="32D797C3" wp14:editId="13E5E477">
                  <wp:simplePos x="0" y="0"/>
                  <wp:positionH relativeFrom="margin">
                    <wp:posOffset>789940</wp:posOffset>
                  </wp:positionH>
                  <wp:positionV relativeFrom="paragraph">
                    <wp:posOffset>102489</wp:posOffset>
                  </wp:positionV>
                  <wp:extent cx="959485" cy="548640"/>
                  <wp:effectExtent l="0" t="0" r="5715" b="0"/>
                  <wp:wrapNone/>
                  <wp:docPr id="3" name="Image 3" descr="C:\Users\bupy\AppData\Local\Microsoft\Windows\INetCacheContent.Word\Quarante-deux-logo_coule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upy\AppData\Local\Microsoft\Windows\INetCacheContent.Word\Quarante-deux-logo_couleur.jpg"/>
                          <pic:cNvPicPr>
                            <a:picLocks noChangeAspect="1" noChangeArrowheads="1"/>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959485" cy="548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53B1E">
              <w:rPr>
                <w:b/>
                <w:sz w:val="16"/>
                <w:szCs w:val="14"/>
                <w:lang w:val="fr-FR"/>
              </w:rPr>
              <w:t>Maître d’oeuvre</w:t>
            </w:r>
          </w:p>
          <w:p w14:paraId="127DDC1E" w14:textId="77777777" w:rsidR="00853B1E" w:rsidRPr="00853B1E" w:rsidRDefault="00853B1E" w:rsidP="003434EF">
            <w:pPr>
              <w:jc w:val="center"/>
              <w:rPr>
                <w:lang w:val="fr-FR"/>
              </w:rPr>
            </w:pPr>
          </w:p>
        </w:tc>
      </w:tr>
      <w:tr w:rsidR="00853B1E" w:rsidRPr="00853B1E" w14:paraId="5A157ADA" w14:textId="77777777" w:rsidTr="003434EF">
        <w:trPr>
          <w:trHeight w:val="1234"/>
          <w:jc w:val="center"/>
        </w:trPr>
        <w:tc>
          <w:tcPr>
            <w:tcW w:w="4112" w:type="dxa"/>
          </w:tcPr>
          <w:p w14:paraId="10CAC8A6" w14:textId="77777777" w:rsidR="00853B1E" w:rsidRPr="00853B1E" w:rsidRDefault="00853B1E" w:rsidP="003434EF">
            <w:pPr>
              <w:autoSpaceDE w:val="0"/>
              <w:autoSpaceDN w:val="0"/>
              <w:adjustRightInd w:val="0"/>
              <w:spacing w:after="0"/>
              <w:jc w:val="center"/>
              <w:rPr>
                <w:rFonts w:ascii="Helvetica" w:hAnsi="Helvetica" w:cs="Helvetica"/>
                <w:b/>
                <w:bCs/>
                <w:sz w:val="16"/>
                <w:szCs w:val="14"/>
                <w:lang w:val="fr-FR" w:eastAsia="ja-JP"/>
              </w:rPr>
            </w:pPr>
            <w:r w:rsidRPr="00853B1E">
              <w:rPr>
                <w:rFonts w:ascii="Helvetica" w:hAnsi="Helvetica" w:cs="Helvetica"/>
                <w:b/>
                <w:bCs/>
                <w:sz w:val="16"/>
                <w:szCs w:val="14"/>
                <w:lang w:val="fr-FR" w:eastAsia="ja-JP"/>
              </w:rPr>
              <w:t>QuaranteDeux</w:t>
            </w:r>
          </w:p>
          <w:p w14:paraId="4E80302B" w14:textId="77777777" w:rsidR="00853B1E" w:rsidRPr="00853B1E" w:rsidRDefault="00853B1E" w:rsidP="003434EF">
            <w:pPr>
              <w:autoSpaceDE w:val="0"/>
              <w:autoSpaceDN w:val="0"/>
              <w:adjustRightInd w:val="0"/>
              <w:spacing w:after="0"/>
              <w:jc w:val="center"/>
              <w:rPr>
                <w:rFonts w:ascii="Helvetica" w:hAnsi="Helvetica" w:cs="Helvetica"/>
                <w:b/>
                <w:bCs/>
                <w:sz w:val="16"/>
                <w:szCs w:val="14"/>
                <w:lang w:val="fr-FR" w:eastAsia="ja-JP"/>
              </w:rPr>
            </w:pPr>
          </w:p>
          <w:p w14:paraId="26C4B8E1" w14:textId="77777777" w:rsidR="00853B1E" w:rsidRPr="00853B1E" w:rsidRDefault="00853B1E" w:rsidP="003434EF">
            <w:pPr>
              <w:autoSpaceDE w:val="0"/>
              <w:autoSpaceDN w:val="0"/>
              <w:adjustRightInd w:val="0"/>
              <w:spacing w:after="0" w:line="276" w:lineRule="auto"/>
              <w:jc w:val="center"/>
              <w:rPr>
                <w:rFonts w:ascii="Helvetica" w:hAnsi="Helvetica" w:cs="Helvetica"/>
                <w:sz w:val="16"/>
                <w:szCs w:val="14"/>
                <w:lang w:val="fr-FR" w:eastAsia="ja-JP"/>
              </w:rPr>
            </w:pPr>
            <w:r w:rsidRPr="00853B1E">
              <w:rPr>
                <w:rFonts w:ascii="Helvetica" w:hAnsi="Helvetica" w:cs="Helvetica"/>
                <w:sz w:val="16"/>
                <w:szCs w:val="14"/>
                <w:lang w:val="fr-FR" w:eastAsia="ja-JP"/>
              </w:rPr>
              <w:t>62 Rue des Tilleuls - 14 000 Caen</w:t>
            </w:r>
          </w:p>
          <w:p w14:paraId="63F54409" w14:textId="77777777" w:rsidR="00853B1E" w:rsidRPr="00853B1E" w:rsidRDefault="00853B1E" w:rsidP="003434EF">
            <w:pPr>
              <w:autoSpaceDE w:val="0"/>
              <w:autoSpaceDN w:val="0"/>
              <w:adjustRightInd w:val="0"/>
              <w:spacing w:after="0" w:line="276" w:lineRule="auto"/>
              <w:jc w:val="center"/>
              <w:rPr>
                <w:rFonts w:ascii="Helvetica" w:hAnsi="Helvetica" w:cs="Helvetica"/>
                <w:sz w:val="16"/>
                <w:szCs w:val="14"/>
                <w:lang w:val="fr-FR" w:eastAsia="ja-JP"/>
              </w:rPr>
            </w:pPr>
            <w:r w:rsidRPr="00853B1E">
              <w:rPr>
                <w:rFonts w:ascii="Helvetica" w:hAnsi="Helvetica" w:cs="Helvetica"/>
                <w:sz w:val="16"/>
                <w:szCs w:val="14"/>
                <w:lang w:val="fr-FR" w:eastAsia="ja-JP"/>
              </w:rPr>
              <w:t>contact@quarantedeux.solutions</w:t>
            </w:r>
          </w:p>
          <w:p w14:paraId="5340053B" w14:textId="77777777" w:rsidR="00853B1E" w:rsidRPr="00853B1E" w:rsidRDefault="00853B1E" w:rsidP="003434EF">
            <w:pPr>
              <w:autoSpaceDE w:val="0"/>
              <w:autoSpaceDN w:val="0"/>
              <w:adjustRightInd w:val="0"/>
              <w:spacing w:after="0" w:line="276" w:lineRule="auto"/>
              <w:jc w:val="center"/>
              <w:rPr>
                <w:rFonts w:ascii="Helvetica" w:hAnsi="Helvetica" w:cs="Helvetica"/>
                <w:sz w:val="16"/>
                <w:szCs w:val="14"/>
                <w:lang w:val="fr-FR" w:eastAsia="ja-JP"/>
              </w:rPr>
            </w:pPr>
            <w:r w:rsidRPr="00853B1E">
              <w:rPr>
                <w:rFonts w:ascii="Helvetica" w:hAnsi="Helvetica" w:cs="Helvetica"/>
                <w:sz w:val="16"/>
                <w:szCs w:val="14"/>
                <w:lang w:val="fr-FR" w:eastAsia="ja-JP"/>
              </w:rPr>
              <w:t>02.55.99.22.11</w:t>
            </w:r>
          </w:p>
        </w:tc>
      </w:tr>
    </w:tbl>
    <w:p w14:paraId="0516F5E9" w14:textId="77777777" w:rsidR="00853B1E" w:rsidRPr="00853B1E" w:rsidRDefault="00853B1E" w:rsidP="00853B1E">
      <w:pPr>
        <w:jc w:val="right"/>
        <w:rPr>
          <w:sz w:val="20"/>
          <w:szCs w:val="18"/>
          <w:lang w:val="fr-FR"/>
        </w:rPr>
      </w:pPr>
      <w:r w:rsidRPr="00853B1E">
        <w:rPr>
          <w:sz w:val="20"/>
          <w:szCs w:val="18"/>
          <w:lang w:val="fr-FR"/>
        </w:rPr>
        <w:t>Ref : 24-212 // Juillet 2026</w:t>
      </w:r>
    </w:p>
    <w:p w14:paraId="4D7187A5" w14:textId="77777777" w:rsidR="000343DB" w:rsidRPr="00853B1E" w:rsidRDefault="00CE5AC1">
      <w:pPr>
        <w:pStyle w:val="Titre1"/>
        <w:rPr>
          <w:lang w:val="fr-FR"/>
        </w:rPr>
      </w:pPr>
      <w:r w:rsidRPr="00853B1E">
        <w:rPr>
          <w:lang w:val="fr-FR"/>
        </w:rPr>
        <w:lastRenderedPageBreak/>
        <w:t>1. Identification de l’acheteur</w:t>
      </w:r>
    </w:p>
    <w:p w14:paraId="176DADEB" w14:textId="131C0B27" w:rsidR="000343DB" w:rsidRPr="00853B1E" w:rsidRDefault="00CE5AC1">
      <w:pPr>
        <w:rPr>
          <w:lang w:val="fr-FR"/>
        </w:rPr>
      </w:pPr>
      <w:r w:rsidRPr="00853B1E">
        <w:rPr>
          <w:rFonts w:eastAsia="Aptos"/>
          <w:b/>
          <w:bCs/>
          <w:lang w:val="fr-FR"/>
        </w:rPr>
        <w:t>Acheteur</w:t>
      </w:r>
      <w:r w:rsidRPr="00853B1E">
        <w:rPr>
          <w:rFonts w:eastAsia="Aptos"/>
          <w:lang w:val="fr-FR"/>
        </w:rPr>
        <w:t xml:space="preserve"> : Commune d’Életot</w:t>
      </w:r>
      <w:r w:rsidR="00853B1E" w:rsidRPr="00853B1E">
        <w:rPr>
          <w:rFonts w:eastAsia="Aptos"/>
          <w:lang w:val="fr-FR"/>
        </w:rPr>
        <w:t>, représenté par M. Le MAIRE, 251 rue de l’église 76540 ELETOT</w:t>
      </w:r>
    </w:p>
    <w:p w14:paraId="0BE76DD3" w14:textId="77777777" w:rsidR="000343DB" w:rsidRPr="00853B1E" w:rsidRDefault="00CE5AC1">
      <w:pPr>
        <w:pStyle w:val="Titre1"/>
        <w:rPr>
          <w:lang w:val="fr-FR"/>
        </w:rPr>
      </w:pPr>
      <w:r w:rsidRPr="00853B1E">
        <w:rPr>
          <w:lang w:val="fr-FR"/>
        </w:rPr>
        <w:t>2. Objet de la consultation</w:t>
      </w:r>
    </w:p>
    <w:p w14:paraId="486CDE77" w14:textId="4711D465" w:rsidR="000343DB" w:rsidRPr="00853B1E" w:rsidRDefault="00CE5AC1">
      <w:pPr>
        <w:rPr>
          <w:lang w:val="fr-FR"/>
        </w:rPr>
      </w:pPr>
      <w:r w:rsidRPr="00853B1E">
        <w:rPr>
          <w:rFonts w:eastAsia="Aptos"/>
          <w:lang w:val="fr-FR"/>
        </w:rPr>
        <w:t>La consultation porte sur la réalisation complète d’une fouille d’archéologie au lieu-dit Grande Rue à Életot, prescrite par l’arrêté n° 28-2026-435 du 6 juillet 2026 : préparation, décapage, fouille, enregistrement, analyses, conservation, post-fouille, rapport final et remise des données et mobiliers.</w:t>
      </w:r>
    </w:p>
    <w:p w14:paraId="139F5885" w14:textId="77777777" w:rsidR="000343DB" w:rsidRPr="00853B1E" w:rsidRDefault="00CE5AC1">
      <w:pPr>
        <w:pStyle w:val="Titre1"/>
        <w:rPr>
          <w:lang w:val="fr-FR"/>
        </w:rPr>
      </w:pPr>
      <w:r w:rsidRPr="00853B1E">
        <w:rPr>
          <w:lang w:val="fr-FR"/>
        </w:rPr>
        <w:t>3. Procédure et forme du marché</w:t>
      </w:r>
    </w:p>
    <w:p w14:paraId="02D1A8FB" w14:textId="2619B1AA" w:rsidR="000343DB" w:rsidRDefault="00853B1E">
      <w:pPr>
        <w:rPr>
          <w:rFonts w:eastAsia="Aptos"/>
          <w:lang w:val="fr-FR"/>
        </w:rPr>
      </w:pPr>
      <w:r w:rsidRPr="00853B1E">
        <w:rPr>
          <w:rFonts w:eastAsia="Aptos"/>
          <w:lang w:val="fr-FR"/>
        </w:rPr>
        <w:t xml:space="preserve">La </w:t>
      </w:r>
      <w:r w:rsidR="001C1E44" w:rsidRPr="00853B1E">
        <w:rPr>
          <w:rFonts w:eastAsia="Aptos"/>
          <w:lang w:val="fr-FR"/>
        </w:rPr>
        <w:t>procédure</w:t>
      </w:r>
      <w:r w:rsidRPr="00853B1E">
        <w:rPr>
          <w:rFonts w:eastAsia="Aptos"/>
          <w:lang w:val="fr-FR"/>
        </w:rPr>
        <w:t xml:space="preserve"> de consultation est une </w:t>
      </w:r>
      <w:r w:rsidR="001C1E44" w:rsidRPr="00853B1E">
        <w:rPr>
          <w:rFonts w:eastAsia="Aptos"/>
          <w:lang w:val="fr-FR"/>
        </w:rPr>
        <w:t>procédure</w:t>
      </w:r>
      <w:r w:rsidRPr="00853B1E">
        <w:rPr>
          <w:rFonts w:eastAsia="Aptos"/>
          <w:lang w:val="fr-FR"/>
        </w:rPr>
        <w:t xml:space="preserve"> adaptée. </w:t>
      </w:r>
      <w:r w:rsidR="00CE5AC1" w:rsidRPr="00853B1E">
        <w:rPr>
          <w:rFonts w:eastAsia="Aptos"/>
          <w:lang w:val="fr-FR"/>
        </w:rPr>
        <w:t>Le dossier est conçu pour un marché unique ordinaire à prix global et forfaitaire. Aucune tranche conditionnelle de fouille n’est admise, l’arrêté de prescription n’en ayant pas prévu.</w:t>
      </w:r>
    </w:p>
    <w:p w14:paraId="14D6F1D3" w14:textId="22414920" w:rsidR="001C1E44" w:rsidRDefault="001C1E44" w:rsidP="001C1E44">
      <w:pPr>
        <w:pStyle w:val="Titre1"/>
        <w:rPr>
          <w:lang w:val="fr-FR"/>
        </w:rPr>
      </w:pPr>
      <w:r>
        <w:rPr>
          <w:lang w:val="fr-FR"/>
        </w:rPr>
        <w:t>4.</w:t>
      </w:r>
      <w:r w:rsidRPr="001C1E44">
        <w:rPr>
          <w:lang w:val="fr-FR"/>
        </w:rPr>
        <w:t>Retrait des dossiers de consultation et présentation des offres</w:t>
      </w:r>
    </w:p>
    <w:p w14:paraId="356D0DCB" w14:textId="0E312A71" w:rsidR="001C1E44" w:rsidRDefault="001C1E44">
      <w:pPr>
        <w:pStyle w:val="Titre1"/>
        <w:rPr>
          <w:rFonts w:ascii="Aptos" w:eastAsia="Aptos" w:hAnsi="Aptos" w:cstheme="minorBidi"/>
          <w:b w:val="0"/>
          <w:bCs w:val="0"/>
          <w:color w:val="1F2937"/>
          <w:sz w:val="21"/>
          <w:szCs w:val="22"/>
          <w:lang w:val="fr-FR"/>
        </w:rPr>
      </w:pPr>
      <w:r w:rsidRPr="001C1E44">
        <w:rPr>
          <w:rFonts w:ascii="Aptos" w:eastAsia="Aptos" w:hAnsi="Aptos" w:cstheme="minorBidi"/>
          <w:b w:val="0"/>
          <w:bCs w:val="0"/>
          <w:color w:val="1F2937"/>
          <w:sz w:val="21"/>
          <w:szCs w:val="22"/>
          <w:lang w:val="fr-FR"/>
        </w:rPr>
        <w:t xml:space="preserve">Le dossier de consultation des entreprises est disponible gratuitement à l’adresse électronique suivante :  </w:t>
      </w:r>
      <w:hyperlink r:id="rId14" w:history="1">
        <w:r w:rsidR="00B869BC" w:rsidRPr="00FA4E93">
          <w:rPr>
            <w:rStyle w:val="Lienhypertexte"/>
            <w:rFonts w:ascii="Aptos" w:eastAsia="Aptos" w:hAnsi="Aptos" w:cstheme="minorBidi"/>
            <w:b w:val="0"/>
            <w:bCs w:val="0"/>
            <w:sz w:val="21"/>
            <w:szCs w:val="22"/>
            <w:lang w:val="fr-FR"/>
          </w:rPr>
          <w:t>https://www.marchespublics.adm76.com</w:t>
        </w:r>
      </w:hyperlink>
      <w:r w:rsidR="00B869BC">
        <w:rPr>
          <w:rFonts w:ascii="Aptos" w:eastAsia="Aptos" w:hAnsi="Aptos" w:cstheme="minorBidi"/>
          <w:b w:val="0"/>
          <w:bCs w:val="0"/>
          <w:sz w:val="21"/>
          <w:szCs w:val="22"/>
          <w:lang w:val="fr-FR"/>
        </w:rPr>
        <w:t xml:space="preserve"> </w:t>
      </w:r>
      <w:bookmarkStart w:id="0" w:name="_GoBack"/>
      <w:bookmarkEnd w:id="0"/>
    </w:p>
    <w:p w14:paraId="38D55F02" w14:textId="669A8D04" w:rsidR="001C1E44" w:rsidRPr="001C1E44" w:rsidRDefault="001C1E44" w:rsidP="001C1E44">
      <w:pPr>
        <w:rPr>
          <w:lang w:val="fr-FR"/>
        </w:rPr>
      </w:pPr>
      <w:r>
        <w:rPr>
          <w:lang w:val="fr-FR"/>
        </w:rPr>
        <w:t>Les offres des opérateurs devront être déposées sur le profil de l’acheteur sur la plate-forme avant l’heure exprimée en première page du règlement de consultation.</w:t>
      </w:r>
    </w:p>
    <w:p w14:paraId="529129F9" w14:textId="42CFB55A" w:rsidR="000343DB" w:rsidRPr="00853B1E" w:rsidRDefault="00853B1E">
      <w:pPr>
        <w:pStyle w:val="Titre1"/>
        <w:rPr>
          <w:lang w:val="fr-FR"/>
        </w:rPr>
      </w:pPr>
      <w:r w:rsidRPr="00853B1E">
        <w:rPr>
          <w:lang w:val="fr-FR"/>
        </w:rPr>
        <w:t>4</w:t>
      </w:r>
      <w:r w:rsidR="00CE5AC1" w:rsidRPr="00853B1E">
        <w:rPr>
          <w:lang w:val="fr-FR"/>
        </w:rPr>
        <w:t>. Dossier de consultation</w:t>
      </w:r>
    </w:p>
    <w:p w14:paraId="26042A46" w14:textId="77777777" w:rsidR="000343DB" w:rsidRPr="00853B1E" w:rsidRDefault="00CE5AC1">
      <w:pPr>
        <w:pStyle w:val="Listepuces"/>
        <w:rPr>
          <w:lang w:val="fr-FR"/>
        </w:rPr>
      </w:pPr>
      <w:r w:rsidRPr="00853B1E">
        <w:rPr>
          <w:rFonts w:eastAsia="Aptos"/>
          <w:lang w:val="fr-FR"/>
        </w:rPr>
        <w:t>Règlement de la consultation.</w:t>
      </w:r>
    </w:p>
    <w:p w14:paraId="08D679BA" w14:textId="77777777" w:rsidR="000343DB" w:rsidRPr="00853B1E" w:rsidRDefault="00CE5AC1">
      <w:pPr>
        <w:pStyle w:val="Listepuces"/>
        <w:rPr>
          <w:lang w:val="fr-FR"/>
        </w:rPr>
      </w:pPr>
      <w:r w:rsidRPr="00853B1E">
        <w:rPr>
          <w:rFonts w:eastAsia="Aptos"/>
          <w:lang w:val="fr-FR"/>
        </w:rPr>
        <w:t>Acte d’engagement.</w:t>
      </w:r>
    </w:p>
    <w:p w14:paraId="27089430" w14:textId="77777777" w:rsidR="000343DB" w:rsidRPr="00853B1E" w:rsidRDefault="00CE5AC1">
      <w:pPr>
        <w:pStyle w:val="Listepuces"/>
        <w:rPr>
          <w:lang w:val="fr-FR"/>
        </w:rPr>
      </w:pPr>
      <w:r w:rsidRPr="00853B1E">
        <w:rPr>
          <w:rFonts w:eastAsia="Aptos"/>
          <w:lang w:val="fr-FR"/>
        </w:rPr>
        <w:t>CCAP.</w:t>
      </w:r>
    </w:p>
    <w:p w14:paraId="0F29B115" w14:textId="77777777" w:rsidR="000343DB" w:rsidRPr="00853B1E" w:rsidRDefault="00CE5AC1">
      <w:pPr>
        <w:pStyle w:val="Listepuces"/>
        <w:rPr>
          <w:lang w:val="fr-FR"/>
        </w:rPr>
      </w:pPr>
      <w:r w:rsidRPr="00853B1E">
        <w:rPr>
          <w:rFonts w:eastAsia="Aptos"/>
          <w:lang w:val="fr-FR"/>
        </w:rPr>
        <w:t>CCTP et arrêté de prescription n° 28-2026-435 avec annexes.</w:t>
      </w:r>
    </w:p>
    <w:p w14:paraId="4D7B3C95" w14:textId="77777777" w:rsidR="000343DB" w:rsidRPr="00853B1E" w:rsidRDefault="00CE5AC1">
      <w:pPr>
        <w:pStyle w:val="Listepuces"/>
        <w:rPr>
          <w:lang w:val="fr-FR"/>
        </w:rPr>
      </w:pPr>
      <w:r w:rsidRPr="00853B1E">
        <w:rPr>
          <w:rFonts w:eastAsia="Aptos"/>
          <w:lang w:val="fr-FR"/>
        </w:rPr>
        <w:t>DPGF.</w:t>
      </w:r>
    </w:p>
    <w:p w14:paraId="0BD004B0" w14:textId="77777777" w:rsidR="000343DB" w:rsidRPr="00853B1E" w:rsidRDefault="00CE5AC1">
      <w:pPr>
        <w:pStyle w:val="Listepuces"/>
        <w:rPr>
          <w:lang w:val="fr-FR"/>
        </w:rPr>
      </w:pPr>
      <w:r w:rsidRPr="00853B1E">
        <w:rPr>
          <w:rFonts w:eastAsia="Aptos"/>
          <w:lang w:val="fr-FR"/>
        </w:rPr>
        <w:t>Cadre de mémoire technique / projet scientifique d’intervention.</w:t>
      </w:r>
    </w:p>
    <w:p w14:paraId="46507E46" w14:textId="77777777" w:rsidR="000343DB" w:rsidRPr="00853B1E" w:rsidRDefault="00CE5AC1">
      <w:pPr>
        <w:pStyle w:val="Listepuces"/>
        <w:rPr>
          <w:lang w:val="fr-FR"/>
        </w:rPr>
      </w:pPr>
      <w:r w:rsidRPr="00853B1E">
        <w:rPr>
          <w:rFonts w:eastAsia="Aptos"/>
          <w:lang w:val="fr-FR"/>
        </w:rPr>
        <w:t>Plans et documents complémentaires mis à disposition sur le profil d’acheteur.</w:t>
      </w:r>
    </w:p>
    <w:p w14:paraId="19090EF6" w14:textId="1B7096A1" w:rsidR="000343DB" w:rsidRPr="00853B1E" w:rsidRDefault="00853B1E">
      <w:pPr>
        <w:pStyle w:val="Titre1"/>
        <w:rPr>
          <w:lang w:val="fr-FR"/>
        </w:rPr>
      </w:pPr>
      <w:r w:rsidRPr="00853B1E">
        <w:rPr>
          <w:lang w:val="fr-FR"/>
        </w:rPr>
        <w:t>5</w:t>
      </w:r>
      <w:r w:rsidR="00CE5AC1" w:rsidRPr="00853B1E">
        <w:rPr>
          <w:lang w:val="fr-FR"/>
        </w:rPr>
        <w:t>. Conditions de participation</w:t>
      </w:r>
    </w:p>
    <w:p w14:paraId="0B8FAA71" w14:textId="77777777" w:rsidR="000343DB" w:rsidRPr="00853B1E" w:rsidRDefault="00CE5AC1">
      <w:pPr>
        <w:rPr>
          <w:lang w:val="fr-FR"/>
        </w:rPr>
      </w:pPr>
      <w:r w:rsidRPr="00853B1E">
        <w:rPr>
          <w:rFonts w:eastAsia="Aptos"/>
          <w:lang w:val="fr-FR"/>
        </w:rPr>
        <w:t>Peuvent présenter une offre l’Inrap et les opérateurs titulaires de l’habilitation ou de l’agrément prévus par le code du patrimoine. L’agrément ou l’habilitation doit couvrir la période du Néolithique.</w:t>
      </w:r>
    </w:p>
    <w:p w14:paraId="218A77EF" w14:textId="77777777" w:rsidR="000343DB" w:rsidRPr="00853B1E" w:rsidRDefault="00CE5AC1">
      <w:pPr>
        <w:pStyle w:val="Listepuces"/>
        <w:rPr>
          <w:lang w:val="fr-FR"/>
        </w:rPr>
      </w:pPr>
      <w:r w:rsidRPr="00853B1E">
        <w:rPr>
          <w:rFonts w:eastAsia="Aptos"/>
          <w:lang w:val="fr-FR"/>
        </w:rPr>
        <w:t>Responsable d’opération spécialiste du Néolithique.</w:t>
      </w:r>
    </w:p>
    <w:p w14:paraId="5827DF38" w14:textId="77777777" w:rsidR="000343DB" w:rsidRPr="00853B1E" w:rsidRDefault="00CE5AC1">
      <w:pPr>
        <w:pStyle w:val="Listepuces"/>
        <w:rPr>
          <w:lang w:val="fr-FR"/>
        </w:rPr>
      </w:pPr>
      <w:r w:rsidRPr="00853B1E">
        <w:rPr>
          <w:rFonts w:eastAsia="Aptos"/>
          <w:lang w:val="fr-FR"/>
        </w:rPr>
        <w:t>Adjoint géoarchéologue.</w:t>
      </w:r>
    </w:p>
    <w:p w14:paraId="0CAB478E" w14:textId="77777777" w:rsidR="000343DB" w:rsidRPr="00853B1E" w:rsidRDefault="00CE5AC1">
      <w:pPr>
        <w:pStyle w:val="Listepuces"/>
        <w:rPr>
          <w:lang w:val="fr-FR"/>
        </w:rPr>
      </w:pPr>
      <w:r w:rsidRPr="00853B1E">
        <w:rPr>
          <w:rFonts w:eastAsia="Aptos"/>
          <w:lang w:val="fr-FR"/>
        </w:rPr>
        <w:t>Compétences et moyens couvrant terrain, topographie, mobilier lithique, céramologie, géomorphologie, micromorphologie, datations, archéobotanique, conservation et PAO/DAO.</w:t>
      </w:r>
    </w:p>
    <w:p w14:paraId="21E4CEC1" w14:textId="77777777" w:rsidR="000343DB" w:rsidRPr="00853B1E" w:rsidRDefault="00CE5AC1">
      <w:pPr>
        <w:pStyle w:val="Listepuces"/>
        <w:rPr>
          <w:lang w:val="fr-FR"/>
        </w:rPr>
      </w:pPr>
      <w:r w:rsidRPr="00853B1E">
        <w:rPr>
          <w:rFonts w:eastAsia="Aptos"/>
          <w:lang w:val="fr-FR"/>
        </w:rPr>
        <w:t>Capacité à garantir la présence du responsable pendant toute la phase terrain et de post-fouille.</w:t>
      </w:r>
    </w:p>
    <w:p w14:paraId="61DC967B" w14:textId="5BB50BE5" w:rsidR="000343DB" w:rsidRPr="00853B1E" w:rsidRDefault="00853B1E">
      <w:pPr>
        <w:pStyle w:val="Titre1"/>
        <w:rPr>
          <w:lang w:val="fr-FR"/>
        </w:rPr>
      </w:pPr>
      <w:r w:rsidRPr="00853B1E">
        <w:rPr>
          <w:lang w:val="fr-FR"/>
        </w:rPr>
        <w:t>6</w:t>
      </w:r>
      <w:r w:rsidR="00CE5AC1" w:rsidRPr="00853B1E">
        <w:rPr>
          <w:lang w:val="fr-FR"/>
        </w:rPr>
        <w:t>. Présentation de la candidature</w:t>
      </w:r>
    </w:p>
    <w:p w14:paraId="6685DAC0" w14:textId="77777777" w:rsidR="000343DB" w:rsidRPr="00853B1E" w:rsidRDefault="00CE5AC1">
      <w:pPr>
        <w:pStyle w:val="Listepuces"/>
        <w:rPr>
          <w:lang w:val="fr-FR"/>
        </w:rPr>
      </w:pPr>
      <w:r w:rsidRPr="00853B1E">
        <w:rPr>
          <w:rFonts w:eastAsia="Aptos"/>
          <w:lang w:val="fr-FR"/>
        </w:rPr>
        <w:t>Lettre de candidature et habilitation du mandataire, ou DUME.</w:t>
      </w:r>
    </w:p>
    <w:p w14:paraId="3825F16F" w14:textId="77777777" w:rsidR="000343DB" w:rsidRPr="00853B1E" w:rsidRDefault="00CE5AC1">
      <w:pPr>
        <w:pStyle w:val="Listepuces"/>
        <w:rPr>
          <w:lang w:val="fr-FR"/>
        </w:rPr>
      </w:pPr>
      <w:r w:rsidRPr="00853B1E">
        <w:rPr>
          <w:rFonts w:eastAsia="Aptos"/>
          <w:lang w:val="fr-FR"/>
        </w:rPr>
        <w:t>Déclaration sur l’honneur relative aux motifs d’exclusion.</w:t>
      </w:r>
    </w:p>
    <w:p w14:paraId="22AC0891" w14:textId="77777777" w:rsidR="000343DB" w:rsidRPr="00853B1E" w:rsidRDefault="00CE5AC1">
      <w:pPr>
        <w:pStyle w:val="Listepuces"/>
        <w:rPr>
          <w:lang w:val="fr-FR"/>
        </w:rPr>
      </w:pPr>
      <w:r w:rsidRPr="00853B1E">
        <w:rPr>
          <w:rFonts w:eastAsia="Aptos"/>
          <w:lang w:val="fr-FR"/>
        </w:rPr>
        <w:lastRenderedPageBreak/>
        <w:t>Chiffre d’affaires et capacités économiques en rapport avec le marché.</w:t>
      </w:r>
    </w:p>
    <w:p w14:paraId="3CD162F7" w14:textId="77777777" w:rsidR="000343DB" w:rsidRPr="00853B1E" w:rsidRDefault="00CE5AC1">
      <w:pPr>
        <w:pStyle w:val="Listepuces"/>
        <w:rPr>
          <w:lang w:val="fr-FR"/>
        </w:rPr>
      </w:pPr>
      <w:r w:rsidRPr="00853B1E">
        <w:rPr>
          <w:rFonts w:eastAsia="Aptos"/>
          <w:lang w:val="fr-FR"/>
        </w:rPr>
        <w:t>Références récentes comparables, notamment Néolithique et contextes de paléosol.</w:t>
      </w:r>
    </w:p>
    <w:p w14:paraId="47CE71BA" w14:textId="77777777" w:rsidR="000343DB" w:rsidRPr="00853B1E" w:rsidRDefault="00CE5AC1">
      <w:pPr>
        <w:pStyle w:val="Listepuces"/>
        <w:rPr>
          <w:lang w:val="fr-FR"/>
        </w:rPr>
      </w:pPr>
      <w:r w:rsidRPr="00853B1E">
        <w:rPr>
          <w:rFonts w:eastAsia="Aptos"/>
          <w:lang w:val="fr-FR"/>
        </w:rPr>
        <w:t>Effectifs et moyens techniques.</w:t>
      </w:r>
    </w:p>
    <w:p w14:paraId="55EDB7CC" w14:textId="77777777" w:rsidR="000343DB" w:rsidRPr="00853B1E" w:rsidRDefault="00CE5AC1">
      <w:pPr>
        <w:pStyle w:val="Listepuces"/>
        <w:rPr>
          <w:lang w:val="fr-FR"/>
        </w:rPr>
      </w:pPr>
      <w:r w:rsidRPr="00853B1E">
        <w:rPr>
          <w:rFonts w:eastAsia="Aptos"/>
          <w:lang w:val="fr-FR"/>
        </w:rPr>
        <w:t>Justificatif d’agrément ou d’habilitation couvrant le Néolithique.</w:t>
      </w:r>
    </w:p>
    <w:p w14:paraId="1BB0F50A" w14:textId="77777777" w:rsidR="000343DB" w:rsidRPr="00853B1E" w:rsidRDefault="00CE5AC1">
      <w:pPr>
        <w:pStyle w:val="Listepuces"/>
        <w:rPr>
          <w:lang w:val="fr-FR"/>
        </w:rPr>
      </w:pPr>
      <w:r w:rsidRPr="00853B1E">
        <w:rPr>
          <w:rFonts w:eastAsia="Aptos"/>
          <w:lang w:val="fr-FR"/>
        </w:rPr>
        <w:t>Attestations d’assurance en cours de validité.</w:t>
      </w:r>
    </w:p>
    <w:p w14:paraId="6EB531A2" w14:textId="5B755F77" w:rsidR="000343DB" w:rsidRPr="00853B1E" w:rsidRDefault="00853B1E">
      <w:pPr>
        <w:pStyle w:val="Titre1"/>
        <w:rPr>
          <w:lang w:val="fr-FR"/>
        </w:rPr>
      </w:pPr>
      <w:r w:rsidRPr="00853B1E">
        <w:rPr>
          <w:lang w:val="fr-FR"/>
        </w:rPr>
        <w:t>7</w:t>
      </w:r>
      <w:r w:rsidR="00CE5AC1" w:rsidRPr="00853B1E">
        <w:rPr>
          <w:lang w:val="fr-FR"/>
        </w:rPr>
        <w:t>. Contenu obligatoire de l’offre</w:t>
      </w:r>
    </w:p>
    <w:p w14:paraId="383E0C1D" w14:textId="77777777" w:rsidR="000343DB" w:rsidRPr="00853B1E" w:rsidRDefault="00CE5AC1">
      <w:pPr>
        <w:rPr>
          <w:lang w:val="fr-FR"/>
        </w:rPr>
      </w:pPr>
      <w:r w:rsidRPr="00853B1E">
        <w:rPr>
          <w:rFonts w:eastAsia="Aptos"/>
          <w:lang w:val="fr-FR"/>
        </w:rPr>
        <w:t>Conformément à l’arrêté du 3 juillet 2017, l’offre comprend au minimum les trois ensembles suivants.</w:t>
      </w:r>
    </w:p>
    <w:tbl>
      <w:tblPr>
        <w:tblStyle w:val="Grilledutableau"/>
        <w:tblW w:w="9580" w:type="dxa"/>
        <w:tblInd w:w="120" w:type="dxa"/>
        <w:tblLayout w:type="fixed"/>
        <w:tblLook w:val="04A0" w:firstRow="1" w:lastRow="0" w:firstColumn="1" w:lastColumn="0" w:noHBand="0" w:noVBand="1"/>
      </w:tblPr>
      <w:tblGrid>
        <w:gridCol w:w="2800"/>
        <w:gridCol w:w="6780"/>
      </w:tblGrid>
      <w:tr w:rsidR="000343DB" w:rsidRPr="00853B1E" w14:paraId="2F45C446" w14:textId="77777777">
        <w:trPr>
          <w:cantSplit/>
          <w:tblHeader/>
        </w:trPr>
        <w:tc>
          <w:tcPr>
            <w:tcW w:w="2800" w:type="dxa"/>
            <w:shd w:val="clear" w:color="auto" w:fill="17365D"/>
            <w:tcMar>
              <w:top w:w="90" w:type="dxa"/>
              <w:left w:w="120" w:type="dxa"/>
              <w:bottom w:w="90" w:type="dxa"/>
              <w:right w:w="120" w:type="dxa"/>
            </w:tcMar>
            <w:vAlign w:val="center"/>
          </w:tcPr>
          <w:p w14:paraId="3F637C8B" w14:textId="77777777" w:rsidR="000343DB" w:rsidRPr="00853B1E" w:rsidRDefault="00CE5AC1">
            <w:pPr>
              <w:rPr>
                <w:lang w:val="fr-FR"/>
              </w:rPr>
            </w:pPr>
            <w:r w:rsidRPr="00853B1E">
              <w:rPr>
                <w:rFonts w:eastAsia="Aptos"/>
                <w:b/>
                <w:color w:val="FFFFFF"/>
                <w:sz w:val="17"/>
                <w:lang w:val="fr-FR"/>
              </w:rPr>
              <w:t>ENSEMBLE</w:t>
            </w:r>
          </w:p>
        </w:tc>
        <w:tc>
          <w:tcPr>
            <w:tcW w:w="6780" w:type="dxa"/>
            <w:shd w:val="clear" w:color="auto" w:fill="17365D"/>
            <w:tcMar>
              <w:top w:w="90" w:type="dxa"/>
              <w:left w:w="120" w:type="dxa"/>
              <w:bottom w:w="90" w:type="dxa"/>
              <w:right w:w="120" w:type="dxa"/>
            </w:tcMar>
            <w:vAlign w:val="center"/>
          </w:tcPr>
          <w:p w14:paraId="66ADA953" w14:textId="77777777" w:rsidR="000343DB" w:rsidRPr="00853B1E" w:rsidRDefault="00CE5AC1">
            <w:pPr>
              <w:rPr>
                <w:lang w:val="fr-FR"/>
              </w:rPr>
            </w:pPr>
            <w:r w:rsidRPr="00853B1E">
              <w:rPr>
                <w:rFonts w:eastAsia="Aptos"/>
                <w:b/>
                <w:color w:val="FFFFFF"/>
                <w:sz w:val="17"/>
                <w:lang w:val="fr-FR"/>
              </w:rPr>
              <w:t>CONTENU EXIGÉ</w:t>
            </w:r>
          </w:p>
        </w:tc>
      </w:tr>
      <w:tr w:rsidR="000343DB" w:rsidRPr="00B869BC" w14:paraId="7F431025" w14:textId="77777777">
        <w:trPr>
          <w:cantSplit/>
        </w:trPr>
        <w:tc>
          <w:tcPr>
            <w:tcW w:w="2800" w:type="dxa"/>
            <w:shd w:val="clear" w:color="auto" w:fill="FFFFFF"/>
            <w:tcMar>
              <w:top w:w="90" w:type="dxa"/>
              <w:left w:w="120" w:type="dxa"/>
              <w:bottom w:w="90" w:type="dxa"/>
              <w:right w:w="120" w:type="dxa"/>
            </w:tcMar>
            <w:vAlign w:val="center"/>
          </w:tcPr>
          <w:p w14:paraId="22877338" w14:textId="77777777" w:rsidR="000343DB" w:rsidRPr="00853B1E" w:rsidRDefault="00CE5AC1">
            <w:pPr>
              <w:rPr>
                <w:lang w:val="fr-FR"/>
              </w:rPr>
            </w:pPr>
            <w:r w:rsidRPr="00853B1E">
              <w:rPr>
                <w:rFonts w:eastAsia="Aptos"/>
                <w:b/>
                <w:color w:val="17365D"/>
                <w:sz w:val="18"/>
                <w:lang w:val="fr-FR"/>
              </w:rPr>
              <w:t>1. Projet scientifique d’intervention</w:t>
            </w:r>
          </w:p>
        </w:tc>
        <w:tc>
          <w:tcPr>
            <w:tcW w:w="6780" w:type="dxa"/>
            <w:shd w:val="clear" w:color="auto" w:fill="FFFFFF"/>
            <w:tcMar>
              <w:top w:w="90" w:type="dxa"/>
              <w:left w:w="120" w:type="dxa"/>
              <w:bottom w:w="90" w:type="dxa"/>
              <w:right w:w="120" w:type="dxa"/>
            </w:tcMar>
            <w:vAlign w:val="center"/>
          </w:tcPr>
          <w:p w14:paraId="415BF141" w14:textId="77777777" w:rsidR="000343DB" w:rsidRPr="00853B1E" w:rsidRDefault="00CE5AC1">
            <w:pPr>
              <w:rPr>
                <w:lang w:val="fr-FR"/>
              </w:rPr>
            </w:pPr>
            <w:r w:rsidRPr="00853B1E">
              <w:rPr>
                <w:rFonts w:eastAsia="Aptos"/>
                <w:sz w:val="18"/>
                <w:lang w:val="fr-FR"/>
              </w:rPr>
              <w:t>Contexte ; méthodes et techniques ; moyens humains et matériels ; compétences et expériences ; prévention des risques, hygiène et sécurité. Ces éléments sont détaillés pour la préparation, le terrain, l’étude et la rédaction du rapport.</w:t>
            </w:r>
          </w:p>
        </w:tc>
      </w:tr>
      <w:tr w:rsidR="000343DB" w:rsidRPr="00B869BC" w14:paraId="44CD8AC9" w14:textId="77777777">
        <w:trPr>
          <w:cantSplit/>
        </w:trPr>
        <w:tc>
          <w:tcPr>
            <w:tcW w:w="2800" w:type="dxa"/>
            <w:shd w:val="clear" w:color="auto" w:fill="F2F4F7"/>
            <w:tcMar>
              <w:top w:w="90" w:type="dxa"/>
              <w:left w:w="120" w:type="dxa"/>
              <w:bottom w:w="90" w:type="dxa"/>
              <w:right w:w="120" w:type="dxa"/>
            </w:tcMar>
            <w:vAlign w:val="center"/>
          </w:tcPr>
          <w:p w14:paraId="4ACF4ADC" w14:textId="77777777" w:rsidR="000343DB" w:rsidRPr="00853B1E" w:rsidRDefault="00CE5AC1">
            <w:pPr>
              <w:rPr>
                <w:lang w:val="fr-FR"/>
              </w:rPr>
            </w:pPr>
            <w:r w:rsidRPr="00853B1E">
              <w:rPr>
                <w:rFonts w:eastAsia="Aptos"/>
                <w:b/>
                <w:color w:val="17365D"/>
                <w:sz w:val="18"/>
                <w:lang w:val="fr-FR"/>
              </w:rPr>
              <w:t>2. Conditions de mise en œuvre</w:t>
            </w:r>
          </w:p>
        </w:tc>
        <w:tc>
          <w:tcPr>
            <w:tcW w:w="6780" w:type="dxa"/>
            <w:shd w:val="clear" w:color="auto" w:fill="F2F4F7"/>
            <w:tcMar>
              <w:top w:w="90" w:type="dxa"/>
              <w:left w:w="120" w:type="dxa"/>
              <w:bottom w:w="90" w:type="dxa"/>
              <w:right w:w="120" w:type="dxa"/>
            </w:tcMar>
            <w:vAlign w:val="center"/>
          </w:tcPr>
          <w:p w14:paraId="0D77B7A9" w14:textId="77777777" w:rsidR="000343DB" w:rsidRPr="00853B1E" w:rsidRDefault="00CE5AC1">
            <w:pPr>
              <w:rPr>
                <w:lang w:val="fr-FR"/>
              </w:rPr>
            </w:pPr>
            <w:r w:rsidRPr="00853B1E">
              <w:rPr>
                <w:rFonts w:eastAsia="Aptos"/>
                <w:sz w:val="18"/>
                <w:lang w:val="fr-FR"/>
              </w:rPr>
              <w:t>Dates et durées prévisionnelles par phase ; besoins de mise à disposition et de sécurisation du terrain par l’aménageur.</w:t>
            </w:r>
          </w:p>
        </w:tc>
      </w:tr>
      <w:tr w:rsidR="000343DB" w:rsidRPr="00B869BC" w14:paraId="42ED4516" w14:textId="77777777">
        <w:trPr>
          <w:cantSplit/>
        </w:trPr>
        <w:tc>
          <w:tcPr>
            <w:tcW w:w="2800" w:type="dxa"/>
            <w:shd w:val="clear" w:color="auto" w:fill="FFFFFF"/>
            <w:tcMar>
              <w:top w:w="90" w:type="dxa"/>
              <w:left w:w="120" w:type="dxa"/>
              <w:bottom w:w="90" w:type="dxa"/>
              <w:right w:w="120" w:type="dxa"/>
            </w:tcMar>
            <w:vAlign w:val="center"/>
          </w:tcPr>
          <w:p w14:paraId="1C522A4C" w14:textId="77777777" w:rsidR="000343DB" w:rsidRPr="00853B1E" w:rsidRDefault="00CE5AC1">
            <w:pPr>
              <w:rPr>
                <w:lang w:val="fr-FR"/>
              </w:rPr>
            </w:pPr>
            <w:r w:rsidRPr="00853B1E">
              <w:rPr>
                <w:rFonts w:eastAsia="Aptos"/>
                <w:b/>
                <w:color w:val="17365D"/>
                <w:sz w:val="18"/>
                <w:lang w:val="fr-FR"/>
              </w:rPr>
              <w:t>3. Prix proposé</w:t>
            </w:r>
          </w:p>
        </w:tc>
        <w:tc>
          <w:tcPr>
            <w:tcW w:w="6780" w:type="dxa"/>
            <w:shd w:val="clear" w:color="auto" w:fill="FFFFFF"/>
            <w:tcMar>
              <w:top w:w="90" w:type="dxa"/>
              <w:left w:w="120" w:type="dxa"/>
              <w:bottom w:w="90" w:type="dxa"/>
              <w:right w:w="120" w:type="dxa"/>
            </w:tcMar>
            <w:vAlign w:val="center"/>
          </w:tcPr>
          <w:p w14:paraId="172D60F5" w14:textId="77777777" w:rsidR="000343DB" w:rsidRPr="00853B1E" w:rsidRDefault="00CE5AC1">
            <w:pPr>
              <w:rPr>
                <w:lang w:val="fr-FR"/>
              </w:rPr>
            </w:pPr>
            <w:r w:rsidRPr="00853B1E">
              <w:rPr>
                <w:rFonts w:eastAsia="Aptos"/>
                <w:sz w:val="18"/>
                <w:lang w:val="fr-FR"/>
              </w:rPr>
              <w:t>Prix par poste de dépense, détaillé pour la préparation, le terrain, l’étude et la rédaction du rapport ; DPGF complétée.</w:t>
            </w:r>
          </w:p>
        </w:tc>
      </w:tr>
    </w:tbl>
    <w:p w14:paraId="23802BAB" w14:textId="77777777" w:rsidR="000343DB" w:rsidRPr="00853B1E" w:rsidRDefault="00CE5AC1">
      <w:pPr>
        <w:pStyle w:val="Listepuces"/>
        <w:rPr>
          <w:lang w:val="fr-FR"/>
        </w:rPr>
      </w:pPr>
      <w:r w:rsidRPr="00853B1E">
        <w:rPr>
          <w:rFonts w:eastAsia="Aptos"/>
          <w:lang w:val="fr-FR"/>
        </w:rPr>
        <w:t>Acte d’engagement complété et signé selon les modalités du profil d’acheteur.</w:t>
      </w:r>
    </w:p>
    <w:p w14:paraId="07180E53" w14:textId="77777777" w:rsidR="000343DB" w:rsidRPr="00853B1E" w:rsidRDefault="00CE5AC1">
      <w:pPr>
        <w:pStyle w:val="Listepuces"/>
        <w:rPr>
          <w:lang w:val="fr-FR"/>
        </w:rPr>
      </w:pPr>
      <w:r w:rsidRPr="00853B1E">
        <w:rPr>
          <w:rFonts w:eastAsia="Aptos"/>
          <w:lang w:val="fr-FR"/>
        </w:rPr>
        <w:t>Mémoire technique / PSI suivant le cadre fourni, avec matrice de conformité.</w:t>
      </w:r>
    </w:p>
    <w:p w14:paraId="40EA3967" w14:textId="77777777" w:rsidR="000343DB" w:rsidRPr="00853B1E" w:rsidRDefault="00CE5AC1">
      <w:pPr>
        <w:pStyle w:val="Listepuces"/>
        <w:rPr>
          <w:lang w:val="fr-FR"/>
        </w:rPr>
      </w:pPr>
      <w:r w:rsidRPr="00853B1E">
        <w:rPr>
          <w:rFonts w:eastAsia="Aptos"/>
          <w:lang w:val="fr-FR"/>
        </w:rPr>
        <w:t>Planning détaillé et charges par fonction.</w:t>
      </w:r>
    </w:p>
    <w:p w14:paraId="74A9078C" w14:textId="77777777" w:rsidR="000343DB" w:rsidRPr="00853B1E" w:rsidRDefault="00CE5AC1">
      <w:pPr>
        <w:pStyle w:val="Listepuces"/>
        <w:rPr>
          <w:lang w:val="fr-FR"/>
        </w:rPr>
      </w:pPr>
      <w:r w:rsidRPr="00853B1E">
        <w:rPr>
          <w:rFonts w:eastAsia="Aptos"/>
          <w:lang w:val="fr-FR"/>
        </w:rPr>
        <w:t>Organigramme, CV du responsable et de l’adjoint, CV ou références des spécialistes.</w:t>
      </w:r>
    </w:p>
    <w:p w14:paraId="13936B9D" w14:textId="77777777" w:rsidR="000343DB" w:rsidRPr="00853B1E" w:rsidRDefault="00CE5AC1">
      <w:pPr>
        <w:pStyle w:val="Listepuces"/>
        <w:rPr>
          <w:lang w:val="fr-FR"/>
        </w:rPr>
      </w:pPr>
      <w:r w:rsidRPr="00853B1E">
        <w:rPr>
          <w:rFonts w:eastAsia="Aptos"/>
          <w:lang w:val="fr-FR"/>
        </w:rPr>
        <w:t>Liste des sous-traitants envisagés et prestations associées.</w:t>
      </w:r>
    </w:p>
    <w:p w14:paraId="19943324" w14:textId="77777777" w:rsidR="000343DB" w:rsidRPr="00853B1E" w:rsidRDefault="00CE5AC1">
      <w:pPr>
        <w:pStyle w:val="Listepuces"/>
        <w:rPr>
          <w:lang w:val="fr-FR"/>
        </w:rPr>
      </w:pPr>
      <w:r w:rsidRPr="00853B1E">
        <w:rPr>
          <w:rFonts w:eastAsia="Aptos"/>
          <w:lang w:val="fr-FR"/>
        </w:rPr>
        <w:t>DPGF au format tableur, sans modification de sa structure, et éventuelle note financière.</w:t>
      </w:r>
    </w:p>
    <w:p w14:paraId="657A9C08" w14:textId="77777777" w:rsidR="000343DB" w:rsidRPr="001C1E44" w:rsidRDefault="00CE5AC1">
      <w:pPr>
        <w:pStyle w:val="Listepuces"/>
        <w:rPr>
          <w:lang w:val="fr-FR"/>
        </w:rPr>
      </w:pPr>
      <w:r w:rsidRPr="00853B1E">
        <w:rPr>
          <w:rFonts w:eastAsia="Aptos"/>
          <w:lang w:val="fr-FR"/>
        </w:rPr>
        <w:t>Attestation d’acceptation sans réserve ou liste exhaustive des réserves.</w:t>
      </w:r>
    </w:p>
    <w:p w14:paraId="3E9C4BDA" w14:textId="77777777" w:rsidR="001C1E44" w:rsidRPr="001C1E44" w:rsidRDefault="001C1E44" w:rsidP="001C1E44">
      <w:pPr>
        <w:rPr>
          <w:lang w:val="fr-FR"/>
        </w:rPr>
      </w:pPr>
      <w:r w:rsidRPr="001C1E44">
        <w:rPr>
          <w:lang w:val="fr-FR"/>
        </w:rPr>
        <w:t>Les offres des candidats seront entièrement rédigées en langue française et exprimées en EURO.</w:t>
      </w:r>
    </w:p>
    <w:p w14:paraId="0D16BBB9" w14:textId="77777777" w:rsidR="001C1E44" w:rsidRPr="001C1E44" w:rsidRDefault="001C1E44" w:rsidP="001C1E44">
      <w:pPr>
        <w:rPr>
          <w:lang w:val="fr-FR"/>
        </w:rPr>
      </w:pPr>
      <w:r w:rsidRPr="001C1E44">
        <w:rPr>
          <w:lang w:val="fr-FR"/>
        </w:rPr>
        <w:t>Si les offres des candidats sont rédigées dans une autre langue, elles doivent être accompagnées d'une traduction en français, cette traduction doit concerner l'ensemble des documents remis dans l'offre.</w:t>
      </w:r>
    </w:p>
    <w:p w14:paraId="4248AC0D" w14:textId="77777777" w:rsidR="001C1E44" w:rsidRPr="00853B1E" w:rsidRDefault="001C1E44" w:rsidP="001C1E44">
      <w:pPr>
        <w:pStyle w:val="Listepuces"/>
        <w:numPr>
          <w:ilvl w:val="0"/>
          <w:numId w:val="0"/>
        </w:numPr>
        <w:ind w:left="605" w:hanging="317"/>
        <w:rPr>
          <w:lang w:val="fr-FR"/>
        </w:rPr>
      </w:pPr>
    </w:p>
    <w:p w14:paraId="2BC0C256" w14:textId="77777777" w:rsidR="000343DB" w:rsidRPr="00853B1E" w:rsidRDefault="00CE5AC1">
      <w:pPr>
        <w:pStyle w:val="Titre1"/>
        <w:rPr>
          <w:lang w:val="fr-FR"/>
        </w:rPr>
      </w:pPr>
      <w:r w:rsidRPr="00853B1E">
        <w:rPr>
          <w:lang w:val="fr-FR"/>
        </w:rPr>
        <w:t>9. Visite et questions</w:t>
      </w:r>
    </w:p>
    <w:p w14:paraId="2D408FD8" w14:textId="3FC7D448" w:rsidR="000343DB" w:rsidRPr="00853B1E" w:rsidRDefault="00CE5AC1">
      <w:pPr>
        <w:rPr>
          <w:lang w:val="fr-FR"/>
        </w:rPr>
      </w:pPr>
      <w:r w:rsidRPr="00853B1E">
        <w:rPr>
          <w:rFonts w:eastAsia="Aptos"/>
          <w:lang w:val="fr-FR"/>
        </w:rPr>
        <w:t>Les questions sont posées exclusivement via le profil d’acheteur avant la date indiquée au calendrier. Les réponses présentant un intérêt général sont communiquées à tous les candidats dans le respect de l’égalité de traitement.</w:t>
      </w:r>
      <w:r w:rsidR="00853B1E" w:rsidRPr="00853B1E">
        <w:rPr>
          <w:rFonts w:eastAsia="Aptos"/>
          <w:lang w:val="fr-FR"/>
        </w:rPr>
        <w:t xml:space="preserve"> Le site peut être librement visité, ce qui est vivement recommandé.</w:t>
      </w:r>
    </w:p>
    <w:p w14:paraId="44240B2A" w14:textId="77777777" w:rsidR="00712326" w:rsidRDefault="00712326">
      <w:pPr>
        <w:spacing w:after="200" w:line="276" w:lineRule="auto"/>
        <w:jc w:val="left"/>
        <w:rPr>
          <w:rFonts w:asciiTheme="majorHAnsi" w:eastAsiaTheme="majorEastAsia" w:hAnsiTheme="majorHAnsi" w:cstheme="majorBidi"/>
          <w:b/>
          <w:bCs/>
          <w:color w:val="2E74B5"/>
          <w:sz w:val="32"/>
          <w:szCs w:val="28"/>
          <w:lang w:val="fr-FR"/>
        </w:rPr>
      </w:pPr>
      <w:r>
        <w:rPr>
          <w:lang w:val="fr-FR"/>
        </w:rPr>
        <w:br w:type="page"/>
      </w:r>
    </w:p>
    <w:p w14:paraId="20DB2949" w14:textId="5AD1F800" w:rsidR="000343DB" w:rsidRPr="00853B1E" w:rsidRDefault="00CE5AC1">
      <w:pPr>
        <w:pStyle w:val="Titre1"/>
        <w:rPr>
          <w:lang w:val="fr-FR"/>
        </w:rPr>
      </w:pPr>
      <w:r w:rsidRPr="00853B1E">
        <w:rPr>
          <w:lang w:val="fr-FR"/>
        </w:rPr>
        <w:lastRenderedPageBreak/>
        <w:t>10. Modalités de remise des offres</w:t>
      </w:r>
    </w:p>
    <w:p w14:paraId="605D59E0" w14:textId="7CA2CA14" w:rsidR="001C1E44" w:rsidRPr="001C1E44" w:rsidRDefault="001C1E44" w:rsidP="001C1E44">
      <w:pPr>
        <w:rPr>
          <w:rFonts w:eastAsia="Aptos"/>
          <w:lang w:val="fr-FR"/>
        </w:rPr>
      </w:pPr>
      <w:r w:rsidRPr="001C1E44">
        <w:rPr>
          <w:rFonts w:eastAsia="Aptos"/>
          <w:lang w:val="fr-FR"/>
        </w:rPr>
        <w:t xml:space="preserve">La transmission des documents par voie électronique est effectuée sur le profil d'acheteur du pouvoir adjudicateur, à l'adresse URL suivante : </w:t>
      </w:r>
      <w:hyperlink r:id="rId15" w:history="1">
        <w:r w:rsidR="00B869BC" w:rsidRPr="00FA4E93">
          <w:rPr>
            <w:rStyle w:val="Lienhypertexte"/>
            <w:rFonts w:eastAsia="Aptos"/>
            <w:b/>
            <w:bCs/>
            <w:lang w:val="fr-FR"/>
          </w:rPr>
          <w:t>https://www.marchespublics.adm76.com</w:t>
        </w:r>
      </w:hyperlink>
      <w:r w:rsidR="00B869BC">
        <w:rPr>
          <w:rFonts w:eastAsia="Aptos"/>
          <w:b/>
          <w:bCs/>
          <w:lang w:val="fr-FR"/>
        </w:rPr>
        <w:t xml:space="preserve"> </w:t>
      </w:r>
      <w:r>
        <w:rPr>
          <w:rFonts w:eastAsia="Aptos"/>
          <w:lang w:val="fr-FR"/>
        </w:rPr>
        <w:t xml:space="preserve"> </w:t>
      </w:r>
      <w:r w:rsidRPr="001C1E44">
        <w:rPr>
          <w:rFonts w:eastAsia="Aptos"/>
          <w:lang w:val="fr-FR"/>
        </w:rPr>
        <w:t xml:space="preserve"> </w:t>
      </w:r>
    </w:p>
    <w:p w14:paraId="5E7F99DA" w14:textId="77777777" w:rsidR="001C1E44" w:rsidRPr="001C1E44" w:rsidRDefault="001C1E44" w:rsidP="001C1E44">
      <w:pPr>
        <w:rPr>
          <w:rFonts w:eastAsia="Aptos"/>
          <w:lang w:val="fr-FR"/>
        </w:rPr>
      </w:pPr>
      <w:r w:rsidRPr="001C1E44">
        <w:rPr>
          <w:rFonts w:eastAsia="Aptos"/>
          <w:lang w:val="fr-FR"/>
        </w:rPr>
        <w:t>Le choix du mode de transmission est global et irréversible. Les candidats doivent appliquer le même mode de transmission à l'ensemble des documents transmis au pouvoir adjudicateur.</w:t>
      </w:r>
    </w:p>
    <w:p w14:paraId="2FE2561B" w14:textId="105EB996" w:rsidR="001C1E44" w:rsidRPr="001C1E44" w:rsidRDefault="001C1E44" w:rsidP="001C1E44">
      <w:pPr>
        <w:rPr>
          <w:rFonts w:eastAsia="Aptos"/>
          <w:lang w:val="fr-FR"/>
        </w:rPr>
      </w:pPr>
      <w:r w:rsidRPr="001C1E44">
        <w:rPr>
          <w:rFonts w:eastAsia="Aptos"/>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49E2BDDF" w14:textId="77777777" w:rsidR="001C1E44" w:rsidRPr="001C1E44" w:rsidRDefault="001C1E44" w:rsidP="001C1E44">
      <w:pPr>
        <w:rPr>
          <w:rFonts w:eastAsia="Aptos"/>
          <w:lang w:val="fr-FR"/>
        </w:rPr>
      </w:pPr>
      <w:r w:rsidRPr="001C1E44">
        <w:rPr>
          <w:rFonts w:eastAsia="Aptos"/>
          <w:lang w:val="fr-FR"/>
        </w:rPr>
        <w:t>Si plusieurs plis sont transmis successivement par le même candidat, seul le dernier pli transmis dans le délai imparti est pris en compte par l'acheteur. Il doit par conséquent contenir l'ensemble des pièces exigées au titre de la présente consultation.</w:t>
      </w:r>
    </w:p>
    <w:p w14:paraId="1A9AEAEE" w14:textId="77777777" w:rsidR="001C1E44" w:rsidRPr="001C1E44" w:rsidRDefault="001C1E44" w:rsidP="001C1E44">
      <w:pPr>
        <w:rPr>
          <w:rFonts w:eastAsia="Aptos"/>
          <w:lang w:val="fr-FR"/>
        </w:rPr>
      </w:pPr>
      <w:r w:rsidRPr="001C1E44">
        <w:rPr>
          <w:rFonts w:eastAsia="Aptos"/>
          <w:lang w:val="fr-FR"/>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44337AE9" w14:textId="1DCE8BE7" w:rsidR="001C1E44" w:rsidRPr="001C1E44" w:rsidRDefault="001C1E44" w:rsidP="001C1E44">
      <w:pPr>
        <w:pStyle w:val="Paragraphedeliste"/>
        <w:numPr>
          <w:ilvl w:val="0"/>
          <w:numId w:val="10"/>
        </w:numPr>
        <w:rPr>
          <w:rFonts w:eastAsia="Aptos"/>
          <w:lang w:val="fr-FR"/>
        </w:rPr>
      </w:pPr>
      <w:r w:rsidRPr="001C1E44">
        <w:rPr>
          <w:rFonts w:eastAsia="Aptos"/>
          <w:lang w:val="fr-FR"/>
        </w:rPr>
        <w:t>Lorsqu’un programme informatique malveillant est détecté dans le pli transmis par voie électronique ;</w:t>
      </w:r>
    </w:p>
    <w:p w14:paraId="05FF1D4E" w14:textId="1BB791DF" w:rsidR="001C1E44" w:rsidRPr="001C1E44" w:rsidRDefault="001C1E44" w:rsidP="001C1E44">
      <w:pPr>
        <w:pStyle w:val="Paragraphedeliste"/>
        <w:numPr>
          <w:ilvl w:val="0"/>
          <w:numId w:val="10"/>
        </w:numPr>
        <w:rPr>
          <w:rFonts w:eastAsia="Aptos"/>
          <w:lang w:val="fr-FR"/>
        </w:rPr>
      </w:pPr>
      <w:r w:rsidRPr="001C1E44">
        <w:rPr>
          <w:rFonts w:eastAsia="Aptos"/>
          <w:lang w:val="fr-FR"/>
        </w:rPr>
        <w:t>Lorsque le pli électronique est reçu de façon incomplète, hors délai ou n'a pu être ouvert, à condition que sa transmission ait commencé avant la clôture de la remise des plis.</w:t>
      </w:r>
    </w:p>
    <w:p w14:paraId="420E0E79" w14:textId="56FC1D6E" w:rsidR="001C1E44" w:rsidRPr="001C1E44" w:rsidRDefault="001C1E44" w:rsidP="001C1E44">
      <w:pPr>
        <w:rPr>
          <w:rFonts w:eastAsia="Aptos"/>
          <w:lang w:val="fr-FR"/>
        </w:rPr>
      </w:pPr>
      <w:r w:rsidRPr="001C1E44">
        <w:rPr>
          <w:rFonts w:eastAsia="Aptos"/>
          <w:lang w:val="fr-FR"/>
        </w:rPr>
        <w:t>La copie de sauvegarde peut être transmise ou déposée à l'adresse suivante :</w:t>
      </w:r>
    </w:p>
    <w:p w14:paraId="304E1C83" w14:textId="77777777" w:rsidR="001C1E44" w:rsidRPr="001C1E44" w:rsidRDefault="001C1E44" w:rsidP="001C1E44">
      <w:pPr>
        <w:jc w:val="center"/>
        <w:rPr>
          <w:rFonts w:eastAsia="Aptos"/>
          <w:b/>
          <w:bCs/>
          <w:lang w:val="fr-FR"/>
        </w:rPr>
      </w:pPr>
      <w:r w:rsidRPr="001C1E44">
        <w:rPr>
          <w:rFonts w:eastAsia="Aptos"/>
          <w:b/>
          <w:bCs/>
          <w:lang w:val="fr-FR"/>
        </w:rPr>
        <w:t>Mairie d’Életot</w:t>
      </w:r>
    </w:p>
    <w:p w14:paraId="3FA89E4A" w14:textId="77777777" w:rsidR="001C1E44" w:rsidRPr="001C1E44" w:rsidRDefault="001C1E44" w:rsidP="001C1E44">
      <w:pPr>
        <w:jc w:val="center"/>
        <w:rPr>
          <w:rFonts w:eastAsia="Aptos"/>
          <w:b/>
          <w:bCs/>
          <w:lang w:val="fr-FR"/>
        </w:rPr>
      </w:pPr>
      <w:r w:rsidRPr="001C1E44">
        <w:rPr>
          <w:rFonts w:eastAsia="Aptos"/>
          <w:b/>
          <w:bCs/>
          <w:lang w:val="fr-FR"/>
        </w:rPr>
        <w:t>251 rue de l’Église</w:t>
      </w:r>
    </w:p>
    <w:p w14:paraId="585FC194" w14:textId="70C1BD78" w:rsidR="001C1E44" w:rsidRPr="001C1E44" w:rsidRDefault="001C1E44" w:rsidP="001C1E44">
      <w:pPr>
        <w:jc w:val="center"/>
        <w:rPr>
          <w:rFonts w:eastAsia="Aptos"/>
          <w:b/>
          <w:bCs/>
          <w:lang w:val="fr-FR"/>
        </w:rPr>
      </w:pPr>
      <w:r w:rsidRPr="001C1E44">
        <w:rPr>
          <w:rFonts w:eastAsia="Aptos"/>
          <w:b/>
          <w:bCs/>
          <w:lang w:val="fr-FR"/>
        </w:rPr>
        <w:t>76540 Életot</w:t>
      </w:r>
    </w:p>
    <w:p w14:paraId="6C923802" w14:textId="77777777" w:rsidR="001C1E44" w:rsidRPr="001C1E44" w:rsidRDefault="001C1E44" w:rsidP="001C1E44">
      <w:pPr>
        <w:rPr>
          <w:rFonts w:eastAsia="Aptos"/>
          <w:lang w:val="fr-FR"/>
        </w:rPr>
      </w:pPr>
      <w:r w:rsidRPr="001C1E44">
        <w:rPr>
          <w:rFonts w:eastAsia="Aptos"/>
          <w:lang w:val="fr-FR"/>
        </w:rPr>
        <w:t>Aucun format électronique n'est préconisé pour la transmission des documents. Cependant, les fichiers devront être transmis dans des formats largement disponibles.</w:t>
      </w:r>
    </w:p>
    <w:p w14:paraId="407B9E7C" w14:textId="77777777" w:rsidR="001C1E44" w:rsidRPr="001C1E44" w:rsidRDefault="001C1E44" w:rsidP="001C1E44">
      <w:pPr>
        <w:rPr>
          <w:rFonts w:eastAsia="Aptos"/>
          <w:lang w:val="fr-FR"/>
        </w:rPr>
      </w:pPr>
      <w:r w:rsidRPr="001C1E44">
        <w:rPr>
          <w:rFonts w:eastAsia="Aptos"/>
          <w:lang w:val="fr-FR"/>
        </w:rPr>
        <w:t>La signature électronique des documents n'est pas exigée au stade du dépôt des plis.</w:t>
      </w:r>
    </w:p>
    <w:p w14:paraId="617BDB54" w14:textId="77777777" w:rsidR="001C1E44" w:rsidRPr="001C1E44" w:rsidRDefault="001C1E44" w:rsidP="001C1E44">
      <w:pPr>
        <w:rPr>
          <w:rFonts w:eastAsia="Aptos"/>
          <w:lang w:val="fr-FR"/>
        </w:rPr>
      </w:pPr>
      <w:r w:rsidRPr="001C1E44">
        <w:rPr>
          <w:rFonts w:eastAsia="Aptos"/>
          <w:lang w:val="fr-FR"/>
        </w:rPr>
        <w:t>Après attribution et à la discrétion de l’acheteur, les candidats sont informés que l'offre retenue pourra donner lieu à une signature électronique ou pourra être transformée en offre papier, pour donner lieu à la signature manuscrite du marché par les parties.</w:t>
      </w:r>
    </w:p>
    <w:p w14:paraId="679A0F03" w14:textId="6157E826" w:rsidR="001C1E44" w:rsidRPr="001C1E44" w:rsidRDefault="001C1E44" w:rsidP="001C1E44">
      <w:pPr>
        <w:rPr>
          <w:rFonts w:eastAsia="Aptos"/>
          <w:lang w:val="fr-FR"/>
        </w:rPr>
      </w:pPr>
      <w:r w:rsidRPr="001C1E44">
        <w:rPr>
          <w:rFonts w:eastAsia="Aptos"/>
          <w:lang w:val="fr-FR"/>
        </w:rPr>
        <w:t>Les frais d'accès au réseau et de recours à la signature électronique sont à la charge des candidats.</w:t>
      </w:r>
    </w:p>
    <w:p w14:paraId="32A5AD79" w14:textId="77777777" w:rsidR="001C1E44" w:rsidRPr="001C1E44" w:rsidRDefault="001C1E44" w:rsidP="001C1E44">
      <w:pPr>
        <w:rPr>
          <w:rFonts w:eastAsia="Aptos"/>
          <w:lang w:val="fr-FR"/>
        </w:rPr>
      </w:pPr>
      <w:r w:rsidRPr="001C1E44">
        <w:rPr>
          <w:rFonts w:eastAsia="Aptos"/>
          <w:lang w:val="fr-FR"/>
        </w:rPr>
        <w:t>Les soumissionnaires devront tenir compte des indications suivantes, afin de garantir au mieux le bon déroulement de la procédure dématérialisée. Il est recommandé aux candidats de ne pas transmettre leur offre en « dernière minute » et de s'être assurés par un test préalable qu'ils maîtrisent bien le mode de fonctionnement de la plateforme.</w:t>
      </w:r>
    </w:p>
    <w:p w14:paraId="18FCCAC2" w14:textId="77777777" w:rsidR="001C1E44" w:rsidRPr="001C1E44" w:rsidRDefault="001C1E44" w:rsidP="001C1E44">
      <w:pPr>
        <w:rPr>
          <w:rFonts w:eastAsia="Aptos"/>
          <w:lang w:val="fr-FR"/>
        </w:rPr>
      </w:pPr>
      <w:r w:rsidRPr="001C1E44">
        <w:rPr>
          <w:rFonts w:eastAsia="Aptos"/>
          <w:lang w:val="fr-FR"/>
        </w:rPr>
        <w:t xml:space="preserve">Ce n'est pas la date de scellement de l'enveloppe qui est prise en compte dans les délais mais l'arrivée du pli après téléchargement sur la plateforme. (Exemple : si le fichier pèse 30 Mo, cela peut prendre jusqu'à 30 minutes ou plus en fonction du débit de la connexion internet). </w:t>
      </w:r>
    </w:p>
    <w:p w14:paraId="34FB391D" w14:textId="77777777" w:rsidR="001C1E44" w:rsidRPr="001C1E44" w:rsidRDefault="001C1E44" w:rsidP="001C1E44">
      <w:pPr>
        <w:rPr>
          <w:rFonts w:eastAsia="Aptos"/>
          <w:lang w:val="fr-FR"/>
        </w:rPr>
      </w:pPr>
    </w:p>
    <w:p w14:paraId="6DBCB23C" w14:textId="77777777" w:rsidR="005F7A72" w:rsidRDefault="005F7A72">
      <w:pPr>
        <w:spacing w:after="200" w:line="276" w:lineRule="auto"/>
        <w:jc w:val="left"/>
        <w:rPr>
          <w:rFonts w:eastAsia="Aptos"/>
          <w:lang w:val="fr-FR"/>
        </w:rPr>
      </w:pPr>
      <w:r>
        <w:rPr>
          <w:rFonts w:eastAsia="Aptos"/>
          <w:lang w:val="fr-FR"/>
        </w:rPr>
        <w:br w:type="page"/>
      </w:r>
    </w:p>
    <w:p w14:paraId="2A66B5DB" w14:textId="138EC86B" w:rsidR="000343DB" w:rsidRPr="00853B1E" w:rsidRDefault="001C1E44" w:rsidP="001C1E44">
      <w:pPr>
        <w:rPr>
          <w:lang w:val="fr-FR"/>
        </w:rPr>
      </w:pPr>
      <w:r w:rsidRPr="001C1E44">
        <w:rPr>
          <w:rFonts w:eastAsia="Aptos"/>
          <w:lang w:val="fr-FR"/>
        </w:rPr>
        <w:lastRenderedPageBreak/>
        <w:t>La transmission des plis par voie électronique est imposée pour cette consultation. Par conséquent, la transmission par voie papier n'est pas autorisée.</w:t>
      </w:r>
      <w:r w:rsidR="00CE5AC1" w:rsidRPr="00853B1E">
        <w:rPr>
          <w:rFonts w:eastAsia="Aptos"/>
          <w:lang w:val="fr-FR"/>
        </w:rPr>
        <w:t>Les candidats veillent à déposer leur pli avant la date et l’heure limites. Ils sont responsables du temps nécessaire au téléversement et de l’intégrité des fichiers.</w:t>
      </w:r>
    </w:p>
    <w:p w14:paraId="415B56AB" w14:textId="77777777" w:rsidR="000343DB" w:rsidRPr="00853B1E" w:rsidRDefault="00CE5AC1">
      <w:pPr>
        <w:pStyle w:val="Titre1"/>
        <w:rPr>
          <w:lang w:val="fr-FR"/>
        </w:rPr>
      </w:pPr>
      <w:r w:rsidRPr="00853B1E">
        <w:rPr>
          <w:lang w:val="fr-FR"/>
        </w:rPr>
        <w:t>11. Examen des candidatures</w:t>
      </w:r>
    </w:p>
    <w:p w14:paraId="6818BC3B" w14:textId="77777777" w:rsidR="000343DB" w:rsidRPr="00853B1E" w:rsidRDefault="00CE5AC1">
      <w:pPr>
        <w:rPr>
          <w:lang w:val="fr-FR"/>
        </w:rPr>
      </w:pPr>
      <w:r w:rsidRPr="00853B1E">
        <w:rPr>
          <w:rFonts w:eastAsia="Aptos"/>
          <w:lang w:val="fr-FR"/>
        </w:rPr>
        <w:t>L’acheteur vérifie l’absence de motif d’exclusion, l’agrément ou habilitation couvrant le Néolithique, ainsi que les capacités économiques, techniques, professionnelles et scientifiques nécessaires. Il peut demander la régularisation des pièces dans les conditions du code de la commande publique.</w:t>
      </w:r>
    </w:p>
    <w:p w14:paraId="2DB6DC0C" w14:textId="127B5721" w:rsidR="00853B1E" w:rsidRDefault="00853B1E">
      <w:pPr>
        <w:spacing w:after="200" w:line="276" w:lineRule="auto"/>
        <w:jc w:val="left"/>
        <w:rPr>
          <w:rFonts w:asciiTheme="majorHAnsi" w:eastAsiaTheme="majorEastAsia" w:hAnsiTheme="majorHAnsi" w:cstheme="majorBidi"/>
          <w:b/>
          <w:bCs/>
          <w:color w:val="2E74B5"/>
          <w:sz w:val="32"/>
          <w:szCs w:val="28"/>
          <w:lang w:val="fr-FR"/>
        </w:rPr>
      </w:pPr>
    </w:p>
    <w:p w14:paraId="17FA02AC" w14:textId="1FD44FE9" w:rsidR="000343DB" w:rsidRPr="00853B1E" w:rsidRDefault="00CE5AC1">
      <w:pPr>
        <w:pStyle w:val="Titre1"/>
        <w:rPr>
          <w:lang w:val="fr-FR"/>
        </w:rPr>
      </w:pPr>
      <w:r w:rsidRPr="00853B1E">
        <w:rPr>
          <w:lang w:val="fr-FR"/>
        </w:rPr>
        <w:t>12. Jugement des offres</w:t>
      </w:r>
    </w:p>
    <w:p w14:paraId="6D452ECA" w14:textId="29BDFFE8" w:rsidR="000343DB" w:rsidRPr="00853B1E" w:rsidRDefault="00853B1E" w:rsidP="00853B1E">
      <w:pPr>
        <w:rPr>
          <w:lang w:val="fr-FR"/>
        </w:rPr>
      </w:pPr>
      <w:r>
        <w:rPr>
          <w:lang w:val="fr-FR"/>
        </w:rPr>
        <w:t>Le jugement des offres se fera selon les critères ci-après</w:t>
      </w:r>
      <w:r w:rsidR="001C1E44">
        <w:rPr>
          <w:lang w:val="fr-FR"/>
        </w:rPr>
        <w:t xml:space="preserve"> : </w:t>
      </w:r>
    </w:p>
    <w:tbl>
      <w:tblPr>
        <w:tblStyle w:val="Grilledutableau"/>
        <w:tblW w:w="9580" w:type="dxa"/>
        <w:tblInd w:w="120" w:type="dxa"/>
        <w:tblLayout w:type="fixed"/>
        <w:tblLook w:val="04A0" w:firstRow="1" w:lastRow="0" w:firstColumn="1" w:lastColumn="0" w:noHBand="0" w:noVBand="1"/>
      </w:tblPr>
      <w:tblGrid>
        <w:gridCol w:w="2850"/>
        <w:gridCol w:w="1850"/>
        <w:gridCol w:w="4880"/>
      </w:tblGrid>
      <w:tr w:rsidR="000343DB" w:rsidRPr="00853B1E" w14:paraId="5C6811F6" w14:textId="77777777">
        <w:trPr>
          <w:cantSplit/>
          <w:tblHeader/>
        </w:trPr>
        <w:tc>
          <w:tcPr>
            <w:tcW w:w="2850" w:type="dxa"/>
            <w:shd w:val="clear" w:color="auto" w:fill="17365D"/>
            <w:tcMar>
              <w:top w:w="90" w:type="dxa"/>
              <w:left w:w="120" w:type="dxa"/>
              <w:bottom w:w="90" w:type="dxa"/>
              <w:right w:w="120" w:type="dxa"/>
            </w:tcMar>
            <w:vAlign w:val="center"/>
          </w:tcPr>
          <w:p w14:paraId="1220DEF7" w14:textId="77777777" w:rsidR="000343DB" w:rsidRPr="00853B1E" w:rsidRDefault="00CE5AC1">
            <w:pPr>
              <w:rPr>
                <w:lang w:val="fr-FR"/>
              </w:rPr>
            </w:pPr>
            <w:r w:rsidRPr="00853B1E">
              <w:rPr>
                <w:rFonts w:eastAsia="Aptos"/>
                <w:b/>
                <w:color w:val="FFFFFF"/>
                <w:sz w:val="17"/>
                <w:lang w:val="fr-FR"/>
              </w:rPr>
              <w:t>CRITÈRE</w:t>
            </w:r>
          </w:p>
        </w:tc>
        <w:tc>
          <w:tcPr>
            <w:tcW w:w="1850" w:type="dxa"/>
            <w:shd w:val="clear" w:color="auto" w:fill="17365D"/>
            <w:tcMar>
              <w:top w:w="90" w:type="dxa"/>
              <w:left w:w="120" w:type="dxa"/>
              <w:bottom w:w="90" w:type="dxa"/>
              <w:right w:w="120" w:type="dxa"/>
            </w:tcMar>
            <w:vAlign w:val="center"/>
          </w:tcPr>
          <w:p w14:paraId="12166CA5" w14:textId="77777777" w:rsidR="000343DB" w:rsidRPr="00853B1E" w:rsidRDefault="00CE5AC1">
            <w:pPr>
              <w:rPr>
                <w:lang w:val="fr-FR"/>
              </w:rPr>
            </w:pPr>
            <w:r w:rsidRPr="00853B1E">
              <w:rPr>
                <w:rFonts w:eastAsia="Aptos"/>
                <w:b/>
                <w:color w:val="FFFFFF"/>
                <w:sz w:val="17"/>
                <w:lang w:val="fr-FR"/>
              </w:rPr>
              <w:t>PONDÉRATION PROPOSÉE</w:t>
            </w:r>
          </w:p>
        </w:tc>
        <w:tc>
          <w:tcPr>
            <w:tcW w:w="4880" w:type="dxa"/>
            <w:shd w:val="clear" w:color="auto" w:fill="17365D"/>
            <w:tcMar>
              <w:top w:w="90" w:type="dxa"/>
              <w:left w:w="120" w:type="dxa"/>
              <w:bottom w:w="90" w:type="dxa"/>
              <w:right w:w="120" w:type="dxa"/>
            </w:tcMar>
            <w:vAlign w:val="center"/>
          </w:tcPr>
          <w:p w14:paraId="0152B14A" w14:textId="77777777" w:rsidR="000343DB" w:rsidRPr="00853B1E" w:rsidRDefault="00CE5AC1">
            <w:pPr>
              <w:rPr>
                <w:lang w:val="fr-FR"/>
              </w:rPr>
            </w:pPr>
            <w:r w:rsidRPr="00853B1E">
              <w:rPr>
                <w:rFonts w:eastAsia="Aptos"/>
                <w:b/>
                <w:color w:val="FFFFFF"/>
                <w:sz w:val="17"/>
                <w:lang w:val="fr-FR"/>
              </w:rPr>
              <w:t>ÉLÉMENTS D’APPRÉCIATION</w:t>
            </w:r>
          </w:p>
        </w:tc>
      </w:tr>
      <w:tr w:rsidR="000343DB" w:rsidRPr="00B869BC" w14:paraId="370E1B96" w14:textId="77777777">
        <w:trPr>
          <w:cantSplit/>
        </w:trPr>
        <w:tc>
          <w:tcPr>
            <w:tcW w:w="2850" w:type="dxa"/>
            <w:shd w:val="clear" w:color="auto" w:fill="FFFFFF"/>
            <w:tcMar>
              <w:top w:w="90" w:type="dxa"/>
              <w:left w:w="120" w:type="dxa"/>
              <w:bottom w:w="90" w:type="dxa"/>
              <w:right w:w="120" w:type="dxa"/>
            </w:tcMar>
            <w:vAlign w:val="center"/>
          </w:tcPr>
          <w:p w14:paraId="1F85FF69" w14:textId="77777777" w:rsidR="000343DB" w:rsidRPr="00853B1E" w:rsidRDefault="00CE5AC1">
            <w:pPr>
              <w:rPr>
                <w:lang w:val="fr-FR"/>
              </w:rPr>
            </w:pPr>
            <w:r w:rsidRPr="00853B1E">
              <w:rPr>
                <w:rFonts w:eastAsia="Aptos"/>
                <w:b/>
                <w:color w:val="17365D"/>
                <w:sz w:val="18"/>
                <w:lang w:val="fr-FR"/>
              </w:rPr>
              <w:t>Valeur scientifique et méthodologique</w:t>
            </w:r>
          </w:p>
        </w:tc>
        <w:tc>
          <w:tcPr>
            <w:tcW w:w="1850" w:type="dxa"/>
            <w:shd w:val="clear" w:color="auto" w:fill="FFFFFF"/>
            <w:tcMar>
              <w:top w:w="90" w:type="dxa"/>
              <w:left w:w="120" w:type="dxa"/>
              <w:bottom w:w="90" w:type="dxa"/>
              <w:right w:w="120" w:type="dxa"/>
            </w:tcMar>
            <w:vAlign w:val="center"/>
          </w:tcPr>
          <w:p w14:paraId="72A41371" w14:textId="77777777" w:rsidR="000343DB" w:rsidRPr="00853B1E" w:rsidRDefault="00CE5AC1">
            <w:pPr>
              <w:rPr>
                <w:lang w:val="fr-FR"/>
              </w:rPr>
            </w:pPr>
            <w:r w:rsidRPr="00853B1E">
              <w:rPr>
                <w:rFonts w:eastAsia="Aptos"/>
                <w:sz w:val="18"/>
                <w:lang w:val="fr-FR"/>
              </w:rPr>
              <w:t>30 %</w:t>
            </w:r>
          </w:p>
        </w:tc>
        <w:tc>
          <w:tcPr>
            <w:tcW w:w="4880" w:type="dxa"/>
            <w:shd w:val="clear" w:color="auto" w:fill="FFFFFF"/>
            <w:tcMar>
              <w:top w:w="90" w:type="dxa"/>
              <w:left w:w="120" w:type="dxa"/>
              <w:bottom w:w="90" w:type="dxa"/>
              <w:right w:w="120" w:type="dxa"/>
            </w:tcMar>
            <w:vAlign w:val="center"/>
          </w:tcPr>
          <w:p w14:paraId="1B8ACE03" w14:textId="77777777" w:rsidR="000343DB" w:rsidRPr="00853B1E" w:rsidRDefault="00CE5AC1">
            <w:pPr>
              <w:rPr>
                <w:lang w:val="fr-FR"/>
              </w:rPr>
            </w:pPr>
            <w:r w:rsidRPr="00853B1E">
              <w:rPr>
                <w:rFonts w:eastAsia="Aptos"/>
                <w:sz w:val="18"/>
                <w:lang w:val="fr-FR"/>
              </w:rPr>
              <w:t>Compréhension ; stratégie ; décapage et fouille ; prélèvements ; analyses ; traitement des données et mobilier.</w:t>
            </w:r>
          </w:p>
        </w:tc>
      </w:tr>
      <w:tr w:rsidR="000343DB" w:rsidRPr="00B869BC" w14:paraId="5E1A22D7" w14:textId="77777777">
        <w:trPr>
          <w:cantSplit/>
        </w:trPr>
        <w:tc>
          <w:tcPr>
            <w:tcW w:w="2850" w:type="dxa"/>
            <w:shd w:val="clear" w:color="auto" w:fill="F2F4F7"/>
            <w:tcMar>
              <w:top w:w="90" w:type="dxa"/>
              <w:left w:w="120" w:type="dxa"/>
              <w:bottom w:w="90" w:type="dxa"/>
              <w:right w:w="120" w:type="dxa"/>
            </w:tcMar>
            <w:vAlign w:val="center"/>
          </w:tcPr>
          <w:p w14:paraId="334522CF" w14:textId="77777777" w:rsidR="000343DB" w:rsidRPr="00853B1E" w:rsidRDefault="00CE5AC1">
            <w:pPr>
              <w:rPr>
                <w:lang w:val="fr-FR"/>
              </w:rPr>
            </w:pPr>
            <w:r w:rsidRPr="00853B1E">
              <w:rPr>
                <w:rFonts w:eastAsia="Aptos"/>
                <w:b/>
                <w:color w:val="17365D"/>
                <w:sz w:val="18"/>
                <w:lang w:val="fr-FR"/>
              </w:rPr>
              <w:t>Moyens humains et organisation</w:t>
            </w:r>
          </w:p>
        </w:tc>
        <w:tc>
          <w:tcPr>
            <w:tcW w:w="1850" w:type="dxa"/>
            <w:shd w:val="clear" w:color="auto" w:fill="F2F4F7"/>
            <w:tcMar>
              <w:top w:w="90" w:type="dxa"/>
              <w:left w:w="120" w:type="dxa"/>
              <w:bottom w:w="90" w:type="dxa"/>
              <w:right w:w="120" w:type="dxa"/>
            </w:tcMar>
            <w:vAlign w:val="center"/>
          </w:tcPr>
          <w:p w14:paraId="7E552674" w14:textId="77777777" w:rsidR="000343DB" w:rsidRPr="00853B1E" w:rsidRDefault="00CE5AC1">
            <w:pPr>
              <w:rPr>
                <w:lang w:val="fr-FR"/>
              </w:rPr>
            </w:pPr>
            <w:r w:rsidRPr="00853B1E">
              <w:rPr>
                <w:rFonts w:eastAsia="Aptos"/>
                <w:sz w:val="18"/>
                <w:lang w:val="fr-FR"/>
              </w:rPr>
              <w:t>15 %</w:t>
            </w:r>
          </w:p>
        </w:tc>
        <w:tc>
          <w:tcPr>
            <w:tcW w:w="4880" w:type="dxa"/>
            <w:shd w:val="clear" w:color="auto" w:fill="F2F4F7"/>
            <w:tcMar>
              <w:top w:w="90" w:type="dxa"/>
              <w:left w:w="120" w:type="dxa"/>
              <w:bottom w:w="90" w:type="dxa"/>
              <w:right w:w="120" w:type="dxa"/>
            </w:tcMar>
            <w:vAlign w:val="center"/>
          </w:tcPr>
          <w:p w14:paraId="23B12661" w14:textId="77777777" w:rsidR="000343DB" w:rsidRPr="00853B1E" w:rsidRDefault="00CE5AC1">
            <w:pPr>
              <w:rPr>
                <w:lang w:val="fr-FR"/>
              </w:rPr>
            </w:pPr>
            <w:r w:rsidRPr="00853B1E">
              <w:rPr>
                <w:rFonts w:eastAsia="Aptos"/>
                <w:sz w:val="18"/>
                <w:lang w:val="fr-FR"/>
              </w:rPr>
              <w:t>Responsable, adjoint, spécialistes, continuité, charges et présence effective.</w:t>
            </w:r>
          </w:p>
        </w:tc>
      </w:tr>
      <w:tr w:rsidR="000343DB" w:rsidRPr="00B869BC" w14:paraId="1E9593EB" w14:textId="77777777">
        <w:trPr>
          <w:cantSplit/>
        </w:trPr>
        <w:tc>
          <w:tcPr>
            <w:tcW w:w="2850" w:type="dxa"/>
            <w:shd w:val="clear" w:color="auto" w:fill="FFFFFF"/>
            <w:tcMar>
              <w:top w:w="90" w:type="dxa"/>
              <w:left w:w="120" w:type="dxa"/>
              <w:bottom w:w="90" w:type="dxa"/>
              <w:right w:w="120" w:type="dxa"/>
            </w:tcMar>
            <w:vAlign w:val="center"/>
          </w:tcPr>
          <w:p w14:paraId="2BB77683" w14:textId="77777777" w:rsidR="000343DB" w:rsidRPr="00853B1E" w:rsidRDefault="00CE5AC1">
            <w:pPr>
              <w:rPr>
                <w:lang w:val="fr-FR"/>
              </w:rPr>
            </w:pPr>
            <w:r w:rsidRPr="00853B1E">
              <w:rPr>
                <w:rFonts w:eastAsia="Aptos"/>
                <w:b/>
                <w:color w:val="17365D"/>
                <w:sz w:val="18"/>
                <w:lang w:val="fr-FR"/>
              </w:rPr>
              <w:t>Planning et maîtrise des risques</w:t>
            </w:r>
          </w:p>
        </w:tc>
        <w:tc>
          <w:tcPr>
            <w:tcW w:w="1850" w:type="dxa"/>
            <w:shd w:val="clear" w:color="auto" w:fill="FFFFFF"/>
            <w:tcMar>
              <w:top w:w="90" w:type="dxa"/>
              <w:left w:w="120" w:type="dxa"/>
              <w:bottom w:w="90" w:type="dxa"/>
              <w:right w:w="120" w:type="dxa"/>
            </w:tcMar>
            <w:vAlign w:val="center"/>
          </w:tcPr>
          <w:p w14:paraId="384A425A" w14:textId="77777777" w:rsidR="000343DB" w:rsidRPr="00853B1E" w:rsidRDefault="00CE5AC1">
            <w:pPr>
              <w:rPr>
                <w:lang w:val="fr-FR"/>
              </w:rPr>
            </w:pPr>
            <w:r w:rsidRPr="00853B1E">
              <w:rPr>
                <w:rFonts w:eastAsia="Aptos"/>
                <w:sz w:val="18"/>
                <w:lang w:val="fr-FR"/>
              </w:rPr>
              <w:t>10 %</w:t>
            </w:r>
          </w:p>
        </w:tc>
        <w:tc>
          <w:tcPr>
            <w:tcW w:w="4880" w:type="dxa"/>
            <w:shd w:val="clear" w:color="auto" w:fill="FFFFFF"/>
            <w:tcMar>
              <w:top w:w="90" w:type="dxa"/>
              <w:left w:w="120" w:type="dxa"/>
              <w:bottom w:w="90" w:type="dxa"/>
              <w:right w:w="120" w:type="dxa"/>
            </w:tcMar>
            <w:vAlign w:val="center"/>
          </w:tcPr>
          <w:p w14:paraId="13E04A78" w14:textId="77777777" w:rsidR="000343DB" w:rsidRPr="00853B1E" w:rsidRDefault="00CE5AC1">
            <w:pPr>
              <w:rPr>
                <w:lang w:val="fr-FR"/>
              </w:rPr>
            </w:pPr>
            <w:r w:rsidRPr="00853B1E">
              <w:rPr>
                <w:rFonts w:eastAsia="Aptos"/>
                <w:sz w:val="18"/>
                <w:lang w:val="fr-FR"/>
              </w:rPr>
              <w:t>Durées, séquencement, autorisations, sécurité, aléas, tenue du délai de 24 mois.</w:t>
            </w:r>
          </w:p>
        </w:tc>
      </w:tr>
      <w:tr w:rsidR="000343DB" w:rsidRPr="00B869BC" w14:paraId="1CF0D44A" w14:textId="77777777">
        <w:trPr>
          <w:cantSplit/>
        </w:trPr>
        <w:tc>
          <w:tcPr>
            <w:tcW w:w="2850" w:type="dxa"/>
            <w:shd w:val="clear" w:color="auto" w:fill="F2F4F7"/>
            <w:tcMar>
              <w:top w:w="90" w:type="dxa"/>
              <w:left w:w="120" w:type="dxa"/>
              <w:bottom w:w="90" w:type="dxa"/>
              <w:right w:w="120" w:type="dxa"/>
            </w:tcMar>
            <w:vAlign w:val="center"/>
          </w:tcPr>
          <w:p w14:paraId="6B586C4B" w14:textId="77777777" w:rsidR="000343DB" w:rsidRPr="00853B1E" w:rsidRDefault="00CE5AC1">
            <w:pPr>
              <w:rPr>
                <w:lang w:val="fr-FR"/>
              </w:rPr>
            </w:pPr>
            <w:r w:rsidRPr="00853B1E">
              <w:rPr>
                <w:rFonts w:eastAsia="Aptos"/>
                <w:b/>
                <w:color w:val="17365D"/>
                <w:sz w:val="18"/>
                <w:lang w:val="fr-FR"/>
              </w:rPr>
              <w:t>Qualité, données et environnement</w:t>
            </w:r>
          </w:p>
        </w:tc>
        <w:tc>
          <w:tcPr>
            <w:tcW w:w="1850" w:type="dxa"/>
            <w:shd w:val="clear" w:color="auto" w:fill="F2F4F7"/>
            <w:tcMar>
              <w:top w:w="90" w:type="dxa"/>
              <w:left w:w="120" w:type="dxa"/>
              <w:bottom w:w="90" w:type="dxa"/>
              <w:right w:w="120" w:type="dxa"/>
            </w:tcMar>
            <w:vAlign w:val="center"/>
          </w:tcPr>
          <w:p w14:paraId="3A3F75DA" w14:textId="77777777" w:rsidR="000343DB" w:rsidRPr="00853B1E" w:rsidRDefault="00CE5AC1">
            <w:pPr>
              <w:rPr>
                <w:lang w:val="fr-FR"/>
              </w:rPr>
            </w:pPr>
            <w:r w:rsidRPr="00853B1E">
              <w:rPr>
                <w:rFonts w:eastAsia="Aptos"/>
                <w:sz w:val="18"/>
                <w:lang w:val="fr-FR"/>
              </w:rPr>
              <w:t>5 %</w:t>
            </w:r>
          </w:p>
        </w:tc>
        <w:tc>
          <w:tcPr>
            <w:tcW w:w="4880" w:type="dxa"/>
            <w:shd w:val="clear" w:color="auto" w:fill="F2F4F7"/>
            <w:tcMar>
              <w:top w:w="90" w:type="dxa"/>
              <w:left w:w="120" w:type="dxa"/>
              <w:bottom w:w="90" w:type="dxa"/>
              <w:right w:w="120" w:type="dxa"/>
            </w:tcMar>
            <w:vAlign w:val="center"/>
          </w:tcPr>
          <w:p w14:paraId="2F9908BC" w14:textId="77777777" w:rsidR="000343DB" w:rsidRPr="00853B1E" w:rsidRDefault="00CE5AC1">
            <w:pPr>
              <w:rPr>
                <w:lang w:val="fr-FR"/>
              </w:rPr>
            </w:pPr>
            <w:r w:rsidRPr="00853B1E">
              <w:rPr>
                <w:rFonts w:eastAsia="Aptos"/>
                <w:sz w:val="18"/>
                <w:lang w:val="fr-FR"/>
              </w:rPr>
              <w:t>Contrôles, conservation, DSA, sauvegardes, déchets et impacts.</w:t>
            </w:r>
          </w:p>
        </w:tc>
      </w:tr>
      <w:tr w:rsidR="000343DB" w:rsidRPr="00B869BC" w14:paraId="5FF48FF8" w14:textId="77777777">
        <w:trPr>
          <w:cantSplit/>
        </w:trPr>
        <w:tc>
          <w:tcPr>
            <w:tcW w:w="2850" w:type="dxa"/>
            <w:shd w:val="clear" w:color="auto" w:fill="FFFFFF"/>
            <w:tcMar>
              <w:top w:w="90" w:type="dxa"/>
              <w:left w:w="120" w:type="dxa"/>
              <w:bottom w:w="90" w:type="dxa"/>
              <w:right w:w="120" w:type="dxa"/>
            </w:tcMar>
            <w:vAlign w:val="center"/>
          </w:tcPr>
          <w:p w14:paraId="5E0CD301" w14:textId="77777777" w:rsidR="000343DB" w:rsidRPr="00853B1E" w:rsidRDefault="00CE5AC1">
            <w:pPr>
              <w:rPr>
                <w:lang w:val="fr-FR"/>
              </w:rPr>
            </w:pPr>
            <w:r w:rsidRPr="00853B1E">
              <w:rPr>
                <w:rFonts w:eastAsia="Aptos"/>
                <w:b/>
                <w:color w:val="17365D"/>
                <w:sz w:val="18"/>
                <w:lang w:val="fr-FR"/>
              </w:rPr>
              <w:t>Prix</w:t>
            </w:r>
          </w:p>
        </w:tc>
        <w:tc>
          <w:tcPr>
            <w:tcW w:w="1850" w:type="dxa"/>
            <w:shd w:val="clear" w:color="auto" w:fill="FFFFFF"/>
            <w:tcMar>
              <w:top w:w="90" w:type="dxa"/>
              <w:left w:w="120" w:type="dxa"/>
              <w:bottom w:w="90" w:type="dxa"/>
              <w:right w:w="120" w:type="dxa"/>
            </w:tcMar>
            <w:vAlign w:val="center"/>
          </w:tcPr>
          <w:p w14:paraId="2D07A914" w14:textId="77777777" w:rsidR="000343DB" w:rsidRPr="00853B1E" w:rsidRDefault="00CE5AC1">
            <w:pPr>
              <w:rPr>
                <w:lang w:val="fr-FR"/>
              </w:rPr>
            </w:pPr>
            <w:r w:rsidRPr="00853B1E">
              <w:rPr>
                <w:rFonts w:eastAsia="Aptos"/>
                <w:sz w:val="18"/>
                <w:lang w:val="fr-FR"/>
              </w:rPr>
              <w:t>40 %</w:t>
            </w:r>
          </w:p>
        </w:tc>
        <w:tc>
          <w:tcPr>
            <w:tcW w:w="4880" w:type="dxa"/>
            <w:shd w:val="clear" w:color="auto" w:fill="FFFFFF"/>
            <w:tcMar>
              <w:top w:w="90" w:type="dxa"/>
              <w:left w:w="120" w:type="dxa"/>
              <w:bottom w:w="90" w:type="dxa"/>
              <w:right w:w="120" w:type="dxa"/>
            </w:tcMar>
            <w:vAlign w:val="center"/>
          </w:tcPr>
          <w:p w14:paraId="19EE2455" w14:textId="77777777" w:rsidR="000343DB" w:rsidRPr="00853B1E" w:rsidRDefault="00CE5AC1">
            <w:pPr>
              <w:rPr>
                <w:lang w:val="fr-FR"/>
              </w:rPr>
            </w:pPr>
            <w:r w:rsidRPr="00853B1E">
              <w:rPr>
                <w:rFonts w:eastAsia="Aptos"/>
                <w:sz w:val="18"/>
                <w:lang w:val="fr-FR"/>
              </w:rPr>
              <w:t>Montant total HT apprécié selon la méthode annoncée.</w:t>
            </w:r>
          </w:p>
        </w:tc>
      </w:tr>
    </w:tbl>
    <w:p w14:paraId="7E0EC45F" w14:textId="77777777" w:rsidR="000343DB" w:rsidRPr="00853B1E" w:rsidRDefault="00CE5AC1">
      <w:pPr>
        <w:pStyle w:val="Titre1"/>
        <w:rPr>
          <w:lang w:val="fr-FR"/>
        </w:rPr>
      </w:pPr>
      <w:r w:rsidRPr="00853B1E">
        <w:rPr>
          <w:lang w:val="fr-FR"/>
        </w:rPr>
        <w:t>13. Précisions, régularisation et négociation</w:t>
      </w:r>
    </w:p>
    <w:p w14:paraId="179078CF" w14:textId="755DA2D9" w:rsidR="000343DB" w:rsidRPr="00853B1E" w:rsidRDefault="00CE5AC1">
      <w:pPr>
        <w:rPr>
          <w:lang w:val="fr-FR"/>
        </w:rPr>
      </w:pPr>
      <w:r w:rsidRPr="00853B1E">
        <w:rPr>
          <w:rFonts w:eastAsia="Aptos"/>
          <w:lang w:val="fr-FR"/>
        </w:rPr>
        <w:t xml:space="preserve">L’acheteur peut demander des précisions ou régularisations dans les limites du code de la commande publique. </w:t>
      </w:r>
    </w:p>
    <w:p w14:paraId="2AB4B39F" w14:textId="77777777" w:rsidR="000343DB" w:rsidRPr="00853B1E" w:rsidRDefault="00CE5AC1">
      <w:pPr>
        <w:pStyle w:val="Titre1"/>
        <w:rPr>
          <w:lang w:val="fr-FR"/>
        </w:rPr>
      </w:pPr>
      <w:r w:rsidRPr="00853B1E">
        <w:rPr>
          <w:lang w:val="fr-FR"/>
        </w:rPr>
        <w:t>14. Durée de validité des offres</w:t>
      </w:r>
    </w:p>
    <w:p w14:paraId="5FF9792D" w14:textId="3438769F" w:rsidR="001C1E44" w:rsidRPr="00853B1E" w:rsidRDefault="001C1E44" w:rsidP="001C1E44">
      <w:pPr>
        <w:rPr>
          <w:lang w:val="fr-FR"/>
        </w:rPr>
      </w:pPr>
      <w:r>
        <w:rPr>
          <w:rFonts w:eastAsia="Aptos"/>
          <w:lang w:val="fr-FR"/>
        </w:rPr>
        <w:t>La durée de validité des offres est fixée à 120 jours.</w:t>
      </w:r>
    </w:p>
    <w:p w14:paraId="64212127" w14:textId="77777777" w:rsidR="000343DB" w:rsidRPr="00853B1E" w:rsidRDefault="00CE5AC1">
      <w:pPr>
        <w:pStyle w:val="Titre1"/>
        <w:rPr>
          <w:lang w:val="fr-FR"/>
        </w:rPr>
      </w:pPr>
      <w:r w:rsidRPr="00853B1E">
        <w:rPr>
          <w:lang w:val="fr-FR"/>
        </w:rPr>
        <w:t>15. Transmission au préfet de région</w:t>
      </w:r>
    </w:p>
    <w:p w14:paraId="6601C3AF" w14:textId="77777777" w:rsidR="000343DB" w:rsidRPr="00853B1E" w:rsidRDefault="00CE5AC1">
      <w:pPr>
        <w:rPr>
          <w:lang w:val="fr-FR"/>
        </w:rPr>
      </w:pPr>
      <w:r w:rsidRPr="00853B1E">
        <w:rPr>
          <w:rFonts w:eastAsia="Aptos"/>
          <w:lang w:val="fr-FR"/>
        </w:rPr>
        <w:t>L’aménageur transmet pour avis au préfet de région les offres recevables proposées par les opérateurs, dans les conditions de l’article R. 523-43-1 du code du patrimoine. L’attribution et le calendrier tiennent compte de cet avis et de l’autorisation de fouille.</w:t>
      </w:r>
    </w:p>
    <w:p w14:paraId="320E9B47" w14:textId="77777777" w:rsidR="000343DB" w:rsidRDefault="00CE5AC1">
      <w:pPr>
        <w:pStyle w:val="Titre1"/>
        <w:rPr>
          <w:lang w:val="fr-FR"/>
        </w:rPr>
      </w:pPr>
      <w:r w:rsidRPr="00853B1E">
        <w:rPr>
          <w:lang w:val="fr-FR"/>
        </w:rPr>
        <w:lastRenderedPageBreak/>
        <w:t>17. Voies et délais de recours</w:t>
      </w:r>
    </w:p>
    <w:p w14:paraId="2EE8F56C" w14:textId="2CF59EFC" w:rsidR="000343DB" w:rsidRPr="001C1E44" w:rsidRDefault="001C1E44" w:rsidP="001C1E44">
      <w:pPr>
        <w:pStyle w:val="ParagrapheIndent1"/>
        <w:spacing w:after="240"/>
        <w:jc w:val="both"/>
        <w:rPr>
          <w:color w:val="000000"/>
          <w:lang w:val="fr-FR"/>
        </w:rPr>
      </w:pPr>
      <w:r w:rsidRPr="002A50FA">
        <w:rPr>
          <w:color w:val="000000"/>
          <w:lang w:val="fr-FR"/>
        </w:rPr>
        <w:t>En cas de litige, seul le Tribunal Administratif de Caen est compétent en la matière.</w:t>
      </w:r>
    </w:p>
    <w:sectPr w:rsidR="000343DB" w:rsidRPr="001C1E44" w:rsidSect="00853B1E">
      <w:headerReference w:type="default" r:id="rId16"/>
      <w:footerReference w:type="default" r:id="rId17"/>
      <w:pgSz w:w="12240" w:h="15840"/>
      <w:pgMar w:top="1224" w:right="1224" w:bottom="1152" w:left="1224" w:header="547" w:footer="54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01301" w14:textId="77777777" w:rsidR="00BB1094" w:rsidRDefault="00BB1094">
      <w:pPr>
        <w:spacing w:after="0" w:line="240" w:lineRule="auto"/>
      </w:pPr>
      <w:r>
        <w:separator/>
      </w:r>
    </w:p>
  </w:endnote>
  <w:endnote w:type="continuationSeparator" w:id="0">
    <w:p w14:paraId="0D1F9E62" w14:textId="77777777" w:rsidR="00BB1094" w:rsidRDefault="00BB1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A93B5" w14:textId="6AE9A9D4" w:rsidR="000343DB" w:rsidRPr="00853B1E" w:rsidRDefault="00853B1E" w:rsidP="00853B1E">
    <w:pPr>
      <w:pStyle w:val="Pieddepage"/>
      <w:tabs>
        <w:tab w:val="clear" w:pos="4680"/>
        <w:tab w:val="center" w:pos="4962"/>
      </w:tabs>
      <w:rPr>
        <w:sz w:val="15"/>
        <w:szCs w:val="15"/>
      </w:rPr>
    </w:pPr>
    <w:r w:rsidRPr="0066664F">
      <w:rPr>
        <w:rFonts w:eastAsia="Aptos"/>
        <w:color w:val="667085"/>
        <w:sz w:val="15"/>
        <w:szCs w:val="15"/>
      </w:rPr>
      <w:t xml:space="preserve">QuaranteDeux </w:t>
    </w:r>
    <w:r w:rsidRPr="0066664F">
      <w:rPr>
        <w:rFonts w:eastAsia="Aptos"/>
        <w:color w:val="667085"/>
        <w:sz w:val="15"/>
        <w:szCs w:val="15"/>
      </w:rPr>
      <w:tab/>
      <w:t>24-212 // Ind_A // Juillet 2026</w:t>
    </w:r>
    <w:r w:rsidRPr="0066664F">
      <w:rPr>
        <w:rFonts w:eastAsia="Aptos"/>
        <w:color w:val="667085"/>
        <w:sz w:val="15"/>
        <w:szCs w:val="15"/>
      </w:rPr>
      <w:tab/>
      <w:t xml:space="preserve"> </w:t>
    </w:r>
    <w:r w:rsidRPr="0066664F">
      <w:rPr>
        <w:sz w:val="15"/>
        <w:szCs w:val="15"/>
      </w:rPr>
      <w:fldChar w:fldCharType="begin"/>
    </w:r>
    <w:r w:rsidRPr="0066664F">
      <w:rPr>
        <w:sz w:val="15"/>
        <w:szCs w:val="15"/>
      </w:rPr>
      <w:instrText>PAGE</w:instrText>
    </w:r>
    <w:r w:rsidRPr="0066664F">
      <w:rPr>
        <w:sz w:val="15"/>
        <w:szCs w:val="15"/>
      </w:rPr>
      <w:fldChar w:fldCharType="separate"/>
    </w:r>
    <w:r w:rsidR="00B869BC">
      <w:rPr>
        <w:noProof/>
        <w:sz w:val="15"/>
        <w:szCs w:val="15"/>
      </w:rPr>
      <w:t>3</w:t>
    </w:r>
    <w:r w:rsidRPr="0066664F">
      <w:rPr>
        <w:sz w:val="15"/>
        <w:szCs w:val="15"/>
      </w:rPr>
      <w:fldChar w:fldCharType="end"/>
    </w:r>
    <w:r w:rsidRPr="0066664F">
      <w:rPr>
        <w:sz w:val="15"/>
        <w:szCs w:val="15"/>
      </w:rPr>
      <w:t xml:space="preserve"> // </w:t>
    </w:r>
    <w:r w:rsidRPr="0066664F">
      <w:rPr>
        <w:sz w:val="15"/>
        <w:szCs w:val="15"/>
      </w:rPr>
      <w:fldChar w:fldCharType="begin"/>
    </w:r>
    <w:r w:rsidRPr="0066664F">
      <w:rPr>
        <w:sz w:val="15"/>
        <w:szCs w:val="15"/>
      </w:rPr>
      <w:instrText xml:space="preserve"> NUMPAGES  \* MERGEFORMAT </w:instrText>
    </w:r>
    <w:r w:rsidRPr="0066664F">
      <w:rPr>
        <w:sz w:val="15"/>
        <w:szCs w:val="15"/>
      </w:rPr>
      <w:fldChar w:fldCharType="separate"/>
    </w:r>
    <w:r w:rsidR="00B869BC">
      <w:rPr>
        <w:noProof/>
        <w:sz w:val="15"/>
        <w:szCs w:val="15"/>
      </w:rPr>
      <w:t>6</w:t>
    </w:r>
    <w:r w:rsidRPr="0066664F">
      <w:rPr>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6AC8A4" w14:textId="77777777" w:rsidR="00BB1094" w:rsidRDefault="00BB1094">
      <w:pPr>
        <w:spacing w:after="0" w:line="240" w:lineRule="auto"/>
      </w:pPr>
      <w:r>
        <w:separator/>
      </w:r>
    </w:p>
  </w:footnote>
  <w:footnote w:type="continuationSeparator" w:id="0">
    <w:p w14:paraId="72BBC30B" w14:textId="77777777" w:rsidR="00BB1094" w:rsidRDefault="00BB1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04E79" w14:textId="587A5F1A" w:rsidR="00853B1E" w:rsidRPr="0066664F" w:rsidRDefault="00853B1E" w:rsidP="00853B1E">
    <w:pPr>
      <w:pStyle w:val="En-tte"/>
      <w:rPr>
        <w:lang w:val="fr-FR"/>
      </w:rPr>
    </w:pPr>
    <w:r>
      <w:rPr>
        <w:rFonts w:eastAsia="Aptos"/>
        <w:b/>
        <w:color w:val="667085"/>
        <w:sz w:val="17"/>
        <w:lang w:val="fr-FR"/>
      </w:rPr>
      <w:t>Commune d’Eletot</w:t>
    </w:r>
    <w:r>
      <w:rPr>
        <w:rFonts w:eastAsia="Aptos"/>
        <w:b/>
        <w:color w:val="667085"/>
        <w:sz w:val="17"/>
        <w:lang w:val="fr-FR"/>
      </w:rPr>
      <w:tab/>
      <w:t>Fouilles archéologiques</w:t>
    </w:r>
    <w:r>
      <w:rPr>
        <w:rFonts w:eastAsia="Aptos"/>
        <w:b/>
        <w:color w:val="667085"/>
        <w:sz w:val="17"/>
        <w:lang w:val="fr-FR"/>
      </w:rPr>
      <w:tab/>
      <w:t>RC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92F12D1"/>
    <w:multiLevelType w:val="hybridMultilevel"/>
    <w:tmpl w:val="088883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3DB"/>
    <w:rsid w:val="00034616"/>
    <w:rsid w:val="0006063C"/>
    <w:rsid w:val="0015074B"/>
    <w:rsid w:val="001C1E44"/>
    <w:rsid w:val="0029639D"/>
    <w:rsid w:val="00326F90"/>
    <w:rsid w:val="00351441"/>
    <w:rsid w:val="005F7A72"/>
    <w:rsid w:val="00712326"/>
    <w:rsid w:val="00853B1E"/>
    <w:rsid w:val="00965FBD"/>
    <w:rsid w:val="00AA1D8D"/>
    <w:rsid w:val="00B47730"/>
    <w:rsid w:val="00B869BC"/>
    <w:rsid w:val="00BB1094"/>
    <w:rsid w:val="00BC4294"/>
    <w:rsid w:val="00CB0664"/>
    <w:rsid w:val="00CE5AC1"/>
    <w:rsid w:val="00E14E2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7E34A97-5D66-0949-8781-590445AA0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B1E"/>
    <w:pPr>
      <w:spacing w:after="100" w:line="259" w:lineRule="auto"/>
      <w:jc w:val="both"/>
    </w:pPr>
    <w:rPr>
      <w:rFonts w:ascii="Aptos" w:hAnsi="Aptos"/>
      <w:color w:val="1F2937"/>
      <w:sz w:val="21"/>
    </w:rPr>
  </w:style>
  <w:style w:type="paragraph" w:styleId="Titre1">
    <w:name w:val="heading 1"/>
    <w:basedOn w:val="Normal"/>
    <w:next w:val="Normal"/>
    <w:link w:val="Titre1Car"/>
    <w:uiPriority w:val="9"/>
    <w:qFormat/>
    <w:rsid w:val="00FC693F"/>
    <w:pPr>
      <w:keepNext/>
      <w:keepLines/>
      <w:spacing w:before="300" w:after="140"/>
      <w:outlineLvl w:val="0"/>
    </w:pPr>
    <w:rPr>
      <w:rFonts w:asciiTheme="majorHAnsi" w:eastAsiaTheme="majorEastAsia" w:hAnsiTheme="majorHAnsi" w:cstheme="majorBidi"/>
      <w:b/>
      <w:bCs/>
      <w:color w:val="2E74B5"/>
      <w:sz w:val="32"/>
      <w:szCs w:val="28"/>
    </w:rPr>
  </w:style>
  <w:style w:type="paragraph" w:styleId="Titre2">
    <w:name w:val="heading 2"/>
    <w:basedOn w:val="Normal"/>
    <w:next w:val="Normal"/>
    <w:link w:val="Titre2Car"/>
    <w:uiPriority w:val="9"/>
    <w:unhideWhenUsed/>
    <w:qFormat/>
    <w:rsid w:val="00FC693F"/>
    <w:pPr>
      <w:keepNext/>
      <w:keepLines/>
      <w:spacing w:before="200"/>
      <w:outlineLvl w:val="1"/>
    </w:pPr>
    <w:rPr>
      <w:rFonts w:asciiTheme="majorHAnsi" w:eastAsiaTheme="majorEastAsia" w:hAnsiTheme="majorHAnsi" w:cstheme="majorBidi"/>
      <w:b/>
      <w:bCs/>
      <w:color w:val="2E74B5"/>
      <w:sz w:val="25"/>
      <w:szCs w:val="26"/>
    </w:rPr>
  </w:style>
  <w:style w:type="paragraph" w:styleId="Titre3">
    <w:name w:val="heading 3"/>
    <w:basedOn w:val="Normal"/>
    <w:next w:val="Normal"/>
    <w:link w:val="Titre3Car"/>
    <w:uiPriority w:val="9"/>
    <w:unhideWhenUsed/>
    <w:qFormat/>
    <w:rsid w:val="00FC693F"/>
    <w:pPr>
      <w:keepNext/>
      <w:keepLines/>
      <w:spacing w:before="140" w:after="60"/>
      <w:outlineLvl w:val="2"/>
    </w:pPr>
    <w:rPr>
      <w:rFonts w:asciiTheme="majorHAnsi" w:eastAsiaTheme="majorEastAsia" w:hAnsiTheme="majorHAnsi" w:cstheme="majorBidi"/>
      <w:b/>
      <w:bCs/>
      <w:color w:val="17365D"/>
      <w:sz w:val="22"/>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keepNext/>
      <w:pBdr>
        <w:bottom w:val="single" w:sz="8" w:space="4" w:color="4F81BD" w:themeColor="accent1"/>
      </w:pBdr>
      <w:spacing w:after="120" w:line="240" w:lineRule="auto"/>
      <w:contextualSpacing/>
    </w:pPr>
    <w:rPr>
      <w:rFonts w:asciiTheme="majorHAnsi" w:eastAsiaTheme="majorEastAsia" w:hAnsiTheme="majorHAnsi" w:cstheme="majorBidi"/>
      <w:b/>
      <w:color w:val="17365D"/>
      <w:spacing w:val="5"/>
      <w:kern w:val="28"/>
      <w:sz w:val="48"/>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keepNext/>
      <w:numPr>
        <w:ilvl w:val="1"/>
      </w:numPr>
      <w:spacing w:after="320"/>
    </w:pPr>
    <w:rPr>
      <w:rFonts w:asciiTheme="majorHAnsi" w:eastAsiaTheme="majorEastAsia" w:hAnsiTheme="majorHAnsi" w:cstheme="majorBidi"/>
      <w:i/>
      <w:iCs/>
      <w:color w:val="667085"/>
      <w:spacing w:val="15"/>
      <w:sz w:val="25"/>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spacing w:after="80"/>
      <w:ind w:left="605" w:hanging="317"/>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spacing w:after="80"/>
      <w:ind w:left="605" w:hanging="317"/>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Emphaseple">
    <w:name w:val="Subtle Emphasis"/>
    <w:basedOn w:val="Policepardfaut"/>
    <w:uiPriority w:val="19"/>
    <w:qFormat/>
    <w:rsid w:val="00FC693F"/>
    <w:rPr>
      <w:i/>
      <w:iCs/>
      <w:color w:val="808080" w:themeColor="text1" w:themeTint="7F"/>
    </w:rPr>
  </w:style>
  <w:style w:type="character" w:styleId="Emphaseintense">
    <w:name w:val="Intense Emphasis"/>
    <w:basedOn w:val="Policepardfaut"/>
    <w:uiPriority w:val="21"/>
    <w:qFormat/>
    <w:rsid w:val="00FC693F"/>
    <w:rPr>
      <w:b/>
      <w:bCs/>
      <w:i/>
      <w:iCs/>
      <w:color w:val="4F81BD" w:themeColor="accent1"/>
    </w:rPr>
  </w:style>
  <w:style w:type="character" w:styleId="Rfrencepl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sponseField">
    <w:name w:val="Response Field"/>
    <w:pPr>
      <w:spacing w:after="120"/>
      <w:ind w:left="144" w:right="144"/>
    </w:pPr>
    <w:rPr>
      <w:rFonts w:ascii="Aptos" w:hAnsi="Aptos"/>
      <w:color w:val="667085"/>
      <w:sz w:val="20"/>
    </w:rPr>
  </w:style>
  <w:style w:type="paragraph" w:customStyle="1" w:styleId="ParagrapheIndent1">
    <w:name w:val="ParagrapheIndent1"/>
    <w:basedOn w:val="Normal"/>
    <w:next w:val="Normal"/>
    <w:qFormat/>
    <w:rsid w:val="001C1E44"/>
    <w:pPr>
      <w:spacing w:after="0" w:line="240" w:lineRule="auto"/>
      <w:jc w:val="left"/>
    </w:pPr>
    <w:rPr>
      <w:rFonts w:ascii="Century Gothic" w:eastAsia="Century Gothic" w:hAnsi="Century Gothic" w:cs="Century Gothic"/>
      <w:color w:val="auto"/>
      <w:sz w:val="20"/>
      <w:szCs w:val="24"/>
    </w:rPr>
  </w:style>
  <w:style w:type="character" w:styleId="Lienhypertexte">
    <w:name w:val="Hyperlink"/>
    <w:basedOn w:val="Policepardfaut"/>
    <w:uiPriority w:val="99"/>
    <w:unhideWhenUsed/>
    <w:rsid w:val="001C1E44"/>
    <w:rPr>
      <w:color w:val="0000FF" w:themeColor="hyperlink"/>
      <w:u w:val="single"/>
    </w:rPr>
  </w:style>
  <w:style w:type="character" w:customStyle="1" w:styleId="UnresolvedMention">
    <w:name w:val="Unresolved Mention"/>
    <w:basedOn w:val="Policepardfaut"/>
    <w:uiPriority w:val="99"/>
    <w:semiHidden/>
    <w:unhideWhenUsed/>
    <w:rsid w:val="001C1E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archespublics.adm76.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rchespublics.adm76.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4003053ED87245A5447F502F0AE61A" ma:contentTypeVersion="15" ma:contentTypeDescription="Crée un document." ma:contentTypeScope="" ma:versionID="b7376d619705e514e66d71cf5e3b0d6f">
  <xsd:schema xmlns:xsd="http://www.w3.org/2001/XMLSchema" xmlns:xs="http://www.w3.org/2001/XMLSchema" xmlns:p="http://schemas.microsoft.com/office/2006/metadata/properties" xmlns:ns2="2f5618c6-8bc3-418d-a4af-02b479e7be01" xmlns:ns3="8e3dba2d-59c0-4bd1-92dc-703bf38a7ff0" targetNamespace="http://schemas.microsoft.com/office/2006/metadata/properties" ma:root="true" ma:fieldsID="36df7e36c709a872ad513a7a4db0f779" ns2:_="" ns3:_="">
    <xsd:import namespace="2f5618c6-8bc3-418d-a4af-02b479e7be01"/>
    <xsd:import namespace="8e3dba2d-59c0-4bd1-92dc-703bf38a7ff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5618c6-8bc3-418d-a4af-02b479e7be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48c2ee32-f68f-494b-b84c-f644d0920aa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3dba2d-59c0-4bd1-92dc-703bf38a7f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903020-7ad9-4b07-88f2-9b13772f0280}" ma:internalName="TaxCatchAll" ma:showField="CatchAllData" ma:web="8e3dba2d-59c0-4bd1-92dc-703bf38a7f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f5618c6-8bc3-418d-a4af-02b479e7be01">
      <Terms xmlns="http://schemas.microsoft.com/office/infopath/2007/PartnerControls"/>
    </lcf76f155ced4ddcb4097134ff3c332f>
    <TaxCatchAll xmlns="8e3dba2d-59c0-4bd1-92dc-703bf38a7f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FE244-EF6F-4DCE-A790-A6EEB491C6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5618c6-8bc3-418d-a4af-02b479e7be01"/>
    <ds:schemaRef ds:uri="8e3dba2d-59c0-4bd1-92dc-703bf38a7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26B6CA-6E77-4E20-8361-86441E383B81}">
  <ds:schemaRefs>
    <ds:schemaRef ds:uri="http://schemas.microsoft.com/office/2006/metadata/properties"/>
    <ds:schemaRef ds:uri="http://schemas.microsoft.com/office/infopath/2007/PartnerControls"/>
    <ds:schemaRef ds:uri="2f5618c6-8bc3-418d-a4af-02b479e7be01"/>
    <ds:schemaRef ds:uri="8e3dba2d-59c0-4bd1-92dc-703bf38a7ff0"/>
  </ds:schemaRefs>
</ds:datastoreItem>
</file>

<file path=customXml/itemProps3.xml><?xml version="1.0" encoding="utf-8"?>
<ds:datastoreItem xmlns:ds="http://schemas.openxmlformats.org/officeDocument/2006/customXml" ds:itemID="{F972B2F0-CC91-4A9A-9B39-B4B04F1C5E14}">
  <ds:schemaRefs>
    <ds:schemaRef ds:uri="http://schemas.microsoft.com/sharepoint/v3/contenttype/forms"/>
  </ds:schemaRefs>
</ds:datastoreItem>
</file>

<file path=customXml/itemProps4.xml><?xml version="1.0" encoding="utf-8"?>
<ds:datastoreItem xmlns:ds="http://schemas.openxmlformats.org/officeDocument/2006/customXml" ds:itemID="{6F809A9A-C3C5-4E8F-A8CA-889488CAA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1496</Words>
  <Characters>8234</Characters>
  <Application>Microsoft Office Word</Application>
  <DocSecurity>0</DocSecurity>
  <Lines>68</Lines>
  <Paragraphs>19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Règlement de consultation — Fouille préventive Grande Rue, Életot</vt:lpstr>
      <vt:lpstr/>
    </vt:vector>
  </TitlesOfParts>
  <Manager/>
  <Company/>
  <LinksUpToDate>false</LinksUpToDate>
  <CharactersWithSpaces>9711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consultation — Fouille préventive Grande Rue, Életot</dc:title>
  <dc:subject>DCE — fouille archéologique préventive Grande Rue</dc:subject>
  <dc:creator>Commune d’Életot</dc:creator>
  <cp:keywords>DCE, archéologie préventive, Életot, Grande Rue, fouille</cp:keywords>
  <dc:description>generated by python-docx</dc:description>
  <cp:lastModifiedBy>Mairie</cp:lastModifiedBy>
  <cp:revision>2</cp:revision>
  <dcterms:created xsi:type="dcterms:W3CDTF">2026-07-16T15:41:00Z</dcterms:created>
  <dcterms:modified xsi:type="dcterms:W3CDTF">2026-07-16T15:41:00Z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0x0101006C4003053ED87245A5447F502F0AE61A</vt:lpwstr>
  </property>
  <property fmtid="{D5CDD505-2E9C-101B-9397-08002B2CF9AE}" pid="3" name="MediaServiceImageTags">
    <vt:lpwstr/>
  </property>
</Properties>
</file>